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BD20" w14:textId="77777777" w:rsidR="00886754" w:rsidRDefault="00363BD5">
      <w:pPr>
        <w:pStyle w:val="BodyText"/>
        <w:spacing w:before="86"/>
        <w:ind w:left="113"/>
      </w:pPr>
      <w:r>
        <w:t>Public Disclosure on Liquidity Risk</w:t>
      </w:r>
    </w:p>
    <w:p w14:paraId="1D21BD21" w14:textId="77777777" w:rsidR="00886754" w:rsidRDefault="00886754">
      <w:pPr>
        <w:pStyle w:val="BodyText"/>
        <w:ind w:left="0"/>
      </w:pPr>
    </w:p>
    <w:p w14:paraId="1D21BD22" w14:textId="77777777" w:rsidR="00886754" w:rsidRDefault="00363BD5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ind w:hanging="721"/>
      </w:pPr>
      <w:r>
        <w:rPr>
          <w:spacing w:val="-3"/>
        </w:rPr>
        <w:t xml:space="preserve">Funding Concentration based </w:t>
      </w:r>
      <w:r>
        <w:t xml:space="preserve">on </w:t>
      </w:r>
      <w:r>
        <w:rPr>
          <w:spacing w:val="-3"/>
        </w:rPr>
        <w:t xml:space="preserve">significant counterparty </w:t>
      </w:r>
      <w:r>
        <w:t xml:space="preserve">(both </w:t>
      </w:r>
      <w:r>
        <w:rPr>
          <w:spacing w:val="-3"/>
        </w:rPr>
        <w:t xml:space="preserve">deposits </w:t>
      </w:r>
      <w:r>
        <w:t xml:space="preserve">and </w:t>
      </w:r>
      <w:r>
        <w:rPr>
          <w:spacing w:val="-3"/>
        </w:rPr>
        <w:t>borrowings)</w:t>
      </w:r>
    </w:p>
    <w:p w14:paraId="1D21BD23" w14:textId="77777777" w:rsidR="00886754" w:rsidRDefault="00363BD5">
      <w:pPr>
        <w:spacing w:before="121"/>
        <w:ind w:left="7810"/>
        <w:rPr>
          <w:i/>
        </w:rPr>
      </w:pPr>
      <w:r>
        <w:rPr>
          <w:i/>
        </w:rPr>
        <w:t>(as at 31</w:t>
      </w:r>
      <w:r>
        <w:rPr>
          <w:i/>
          <w:vertAlign w:val="superscript"/>
        </w:rPr>
        <w:t>st</w:t>
      </w:r>
      <w:r>
        <w:rPr>
          <w:i/>
        </w:rPr>
        <w:t xml:space="preserve"> March, 2020) </w:t>
      </w:r>
    </w:p>
    <w:tbl>
      <w:tblPr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126"/>
        <w:gridCol w:w="2359"/>
        <w:gridCol w:w="1785"/>
        <w:gridCol w:w="1545"/>
      </w:tblGrid>
      <w:tr w:rsidR="00886754" w14:paraId="1D21BD2C" w14:textId="77777777">
        <w:trPr>
          <w:trHeight w:val="537"/>
        </w:trPr>
        <w:tc>
          <w:tcPr>
            <w:tcW w:w="900" w:type="dxa"/>
          </w:tcPr>
          <w:p w14:paraId="1D21BD24" w14:textId="77777777" w:rsidR="00886754" w:rsidRDefault="00363BD5">
            <w:pPr>
              <w:pStyle w:val="TableParagraph"/>
              <w:spacing w:line="268" w:lineRule="exact"/>
              <w:ind w:left="163" w:right="152"/>
            </w:pPr>
            <w:r>
              <w:t>Sr. No</w:t>
            </w:r>
          </w:p>
        </w:tc>
        <w:tc>
          <w:tcPr>
            <w:tcW w:w="2126" w:type="dxa"/>
          </w:tcPr>
          <w:p w14:paraId="1D21BD25" w14:textId="77777777" w:rsidR="00886754" w:rsidRDefault="00363BD5">
            <w:pPr>
              <w:pStyle w:val="TableParagraph"/>
              <w:spacing w:line="268" w:lineRule="exact"/>
              <w:ind w:left="82" w:right="73"/>
            </w:pPr>
            <w:r>
              <w:t>Number of Significant</w:t>
            </w:r>
          </w:p>
          <w:p w14:paraId="1D21BD26" w14:textId="77777777" w:rsidR="00886754" w:rsidRDefault="00363BD5">
            <w:pPr>
              <w:pStyle w:val="TableParagraph"/>
              <w:spacing w:line="249" w:lineRule="exact"/>
              <w:ind w:left="82" w:right="71"/>
            </w:pPr>
            <w:r>
              <w:t>Counterparties*</w:t>
            </w:r>
          </w:p>
        </w:tc>
        <w:tc>
          <w:tcPr>
            <w:tcW w:w="2359" w:type="dxa"/>
          </w:tcPr>
          <w:p w14:paraId="1D21BD27" w14:textId="01EB0206" w:rsidR="00886754" w:rsidRDefault="00363BD5">
            <w:pPr>
              <w:pStyle w:val="TableParagraph"/>
              <w:spacing w:line="268" w:lineRule="exact"/>
              <w:ind w:left="404" w:right="392"/>
            </w:pPr>
            <w:r>
              <w:t>Amount (₹ crore)</w:t>
            </w:r>
            <w:r w:rsidR="00794B99">
              <w:t>*</w:t>
            </w:r>
          </w:p>
        </w:tc>
        <w:tc>
          <w:tcPr>
            <w:tcW w:w="1785" w:type="dxa"/>
          </w:tcPr>
          <w:p w14:paraId="1D21BD28" w14:textId="77777777" w:rsidR="00886754" w:rsidRDefault="00363BD5">
            <w:pPr>
              <w:pStyle w:val="TableParagraph"/>
              <w:spacing w:line="268" w:lineRule="exact"/>
              <w:ind w:left="458"/>
              <w:jc w:val="left"/>
            </w:pPr>
            <w:r>
              <w:t>% of Total</w:t>
            </w:r>
          </w:p>
          <w:p w14:paraId="1D21BD29" w14:textId="51740C31" w:rsidR="00886754" w:rsidRDefault="0055050D">
            <w:pPr>
              <w:pStyle w:val="TableParagraph"/>
              <w:spacing w:line="249" w:lineRule="exact"/>
              <w:ind w:left="528"/>
              <w:jc w:val="left"/>
            </w:pPr>
            <w:r>
              <w:t>D</w:t>
            </w:r>
            <w:r w:rsidR="00363BD5">
              <w:t>eposits</w:t>
            </w:r>
            <w:r>
              <w:t>**</w:t>
            </w:r>
          </w:p>
        </w:tc>
        <w:tc>
          <w:tcPr>
            <w:tcW w:w="1545" w:type="dxa"/>
          </w:tcPr>
          <w:p w14:paraId="1D21BD2A" w14:textId="77777777" w:rsidR="00886754" w:rsidRDefault="00363BD5">
            <w:pPr>
              <w:pStyle w:val="TableParagraph"/>
              <w:spacing w:line="268" w:lineRule="exact"/>
              <w:ind w:left="339"/>
              <w:jc w:val="left"/>
            </w:pPr>
            <w:r>
              <w:t>% of Total</w:t>
            </w:r>
          </w:p>
          <w:p w14:paraId="1D21BD2B" w14:textId="3CCF0698" w:rsidR="00886754" w:rsidRDefault="00363BD5">
            <w:pPr>
              <w:pStyle w:val="TableParagraph"/>
              <w:spacing w:line="249" w:lineRule="exact"/>
              <w:ind w:left="284"/>
              <w:jc w:val="left"/>
            </w:pPr>
            <w:r>
              <w:t>liabilities**</w:t>
            </w:r>
            <w:r w:rsidR="00E613AB">
              <w:t>*</w:t>
            </w:r>
          </w:p>
        </w:tc>
      </w:tr>
      <w:tr w:rsidR="00886754" w14:paraId="1D21BD36" w14:textId="77777777">
        <w:trPr>
          <w:trHeight w:val="270"/>
        </w:trPr>
        <w:tc>
          <w:tcPr>
            <w:tcW w:w="900" w:type="dxa"/>
          </w:tcPr>
          <w:p w14:paraId="1D21BD2D" w14:textId="77777777" w:rsidR="00886754" w:rsidRDefault="00363BD5">
            <w:pPr>
              <w:pStyle w:val="TableParagraph"/>
              <w:spacing w:line="251" w:lineRule="exact"/>
              <w:ind w:left="8"/>
            </w:pPr>
            <w:r>
              <w:t>1</w:t>
            </w:r>
          </w:p>
        </w:tc>
        <w:tc>
          <w:tcPr>
            <w:tcW w:w="2126" w:type="dxa"/>
          </w:tcPr>
          <w:p w14:paraId="1D21BD2E" w14:textId="77777777" w:rsidR="00886754" w:rsidRDefault="00A91AAF">
            <w:pPr>
              <w:pStyle w:val="TableParagraph"/>
              <w:spacing w:line="251" w:lineRule="exact"/>
              <w:ind w:left="80" w:right="73"/>
            </w:pPr>
            <w:r>
              <w:t>13</w:t>
            </w:r>
          </w:p>
        </w:tc>
        <w:tc>
          <w:tcPr>
            <w:tcW w:w="2359" w:type="dxa"/>
          </w:tcPr>
          <w:p w14:paraId="1D21BD2F" w14:textId="77777777" w:rsidR="00A91AAF" w:rsidRDefault="00A91AAF" w:rsidP="00A91AAF">
            <w:pPr>
              <w:jc w:val="center"/>
            </w:pPr>
            <w:r>
              <w:t xml:space="preserve">             </w:t>
            </w:r>
            <w:r w:rsidR="00C037D9">
              <w:t>335.6</w:t>
            </w:r>
          </w:p>
          <w:p w14:paraId="1D21BD30" w14:textId="77777777" w:rsidR="00C037D9" w:rsidRDefault="00C037D9" w:rsidP="00A91A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21BD31" w14:textId="77777777" w:rsidR="00886754" w:rsidRDefault="00886754" w:rsidP="00A91AAF">
            <w:pPr>
              <w:pStyle w:val="TableParagraph"/>
              <w:spacing w:line="251" w:lineRule="exact"/>
              <w:ind w:left="402" w:right="392"/>
              <w:jc w:val="left"/>
            </w:pPr>
          </w:p>
        </w:tc>
        <w:tc>
          <w:tcPr>
            <w:tcW w:w="1785" w:type="dxa"/>
          </w:tcPr>
          <w:p w14:paraId="1D21BD32" w14:textId="77777777" w:rsidR="00886754" w:rsidRDefault="00363BD5">
            <w:pPr>
              <w:pStyle w:val="TableParagraph"/>
              <w:spacing w:line="251" w:lineRule="exact"/>
              <w:ind w:left="741" w:right="729"/>
            </w:pPr>
            <w:r>
              <w:t>NA</w:t>
            </w:r>
          </w:p>
        </w:tc>
        <w:tc>
          <w:tcPr>
            <w:tcW w:w="1545" w:type="dxa"/>
          </w:tcPr>
          <w:p w14:paraId="1D21BD33" w14:textId="77777777" w:rsidR="00A91AAF" w:rsidRDefault="00A91AAF">
            <w:pPr>
              <w:pStyle w:val="TableParagraph"/>
              <w:spacing w:line="251" w:lineRule="exact"/>
              <w:ind w:left="444"/>
              <w:jc w:val="left"/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Excel.Sheet.12 "C:\\Users\\aditig\\Downloads\\EFPL_Liquidity Disclosure.xlsx" "49-Reg-IV!R30C12" \a \f 4 \h </w:instrText>
            </w:r>
            <w:r>
              <w:fldChar w:fldCharType="separate"/>
            </w:r>
          </w:p>
          <w:p w14:paraId="1D21BD34" w14:textId="77777777" w:rsidR="00A91AAF" w:rsidRPr="00A91AAF" w:rsidRDefault="00A91AAF" w:rsidP="00A91A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91AAF">
              <w:rPr>
                <w:rFonts w:ascii="Times New Roman" w:eastAsia="Times New Roman" w:hAnsi="Times New Roman" w:cs="Times New Roman"/>
                <w:lang w:val="en-IN" w:eastAsia="en-IN"/>
              </w:rPr>
              <w:t>23.39%</w:t>
            </w:r>
          </w:p>
          <w:p w14:paraId="1D21BD35" w14:textId="77777777" w:rsidR="00886754" w:rsidRDefault="00A91AAF" w:rsidP="00A91AAF">
            <w:pPr>
              <w:pStyle w:val="TableParagraph"/>
              <w:spacing w:line="251" w:lineRule="exact"/>
              <w:ind w:left="444"/>
              <w:jc w:val="left"/>
            </w:pPr>
            <w:r>
              <w:fldChar w:fldCharType="end"/>
            </w:r>
          </w:p>
        </w:tc>
      </w:tr>
    </w:tbl>
    <w:p w14:paraId="1D21BD37" w14:textId="77777777" w:rsidR="00886754" w:rsidRDefault="00886754">
      <w:pPr>
        <w:pStyle w:val="BodyText"/>
        <w:spacing w:before="9"/>
        <w:ind w:left="0"/>
        <w:rPr>
          <w:i/>
          <w:sz w:val="21"/>
        </w:rPr>
      </w:pPr>
    </w:p>
    <w:p w14:paraId="1D21BD38" w14:textId="77777777" w:rsidR="00871CAF" w:rsidRDefault="00363BD5" w:rsidP="00871CAF">
      <w:pPr>
        <w:ind w:left="1193"/>
        <w:rPr>
          <w:i/>
        </w:rPr>
      </w:pPr>
      <w:r>
        <w:t xml:space="preserve">* </w:t>
      </w:r>
      <w:r>
        <w:rPr>
          <w:i/>
        </w:rPr>
        <w:t>“Significant counterparty” is defined as a single counterparty or group of connected or affiliated counterparties accounting in aggregate for</w:t>
      </w:r>
      <w:r w:rsidR="00871CAF">
        <w:rPr>
          <w:i/>
        </w:rPr>
        <w:t xml:space="preserve"> more than 1% of the NBFC-NDSI </w:t>
      </w:r>
      <w:r w:rsidR="00871CAF" w:rsidRPr="00871CAF">
        <w:rPr>
          <w:i/>
        </w:rPr>
        <w:t xml:space="preserve"> borrowings (principal amount)"</w:t>
      </w:r>
    </w:p>
    <w:p w14:paraId="1D21BD39" w14:textId="77777777" w:rsidR="00871CAF" w:rsidRPr="00871CAF" w:rsidRDefault="00871CAF" w:rsidP="00871CAF">
      <w:pPr>
        <w:ind w:left="1193"/>
        <w:rPr>
          <w:i/>
        </w:rPr>
      </w:pPr>
    </w:p>
    <w:p w14:paraId="1D21BD3A" w14:textId="77777777" w:rsidR="00871CAF" w:rsidRDefault="00871CAF" w:rsidP="00871CAF">
      <w:pPr>
        <w:spacing w:before="123"/>
        <w:ind w:left="1193"/>
        <w:rPr>
          <w:i/>
        </w:rPr>
      </w:pPr>
      <w:r>
        <w:rPr>
          <w:i/>
        </w:rPr>
        <w:t xml:space="preserve">** “The Company is non deposit taking NBFC, accordingly this ratio is not applicable to the company. </w:t>
      </w:r>
    </w:p>
    <w:p w14:paraId="1D21BD3B" w14:textId="77777777" w:rsidR="00871CAF" w:rsidRDefault="00871CAF">
      <w:pPr>
        <w:ind w:left="1193"/>
        <w:rPr>
          <w:i/>
        </w:rPr>
      </w:pPr>
    </w:p>
    <w:p w14:paraId="1D21BD3C" w14:textId="15AD0669" w:rsidR="00886754" w:rsidRDefault="00363BD5">
      <w:pPr>
        <w:spacing w:before="123"/>
        <w:ind w:left="1193"/>
        <w:rPr>
          <w:i/>
        </w:rPr>
      </w:pPr>
      <w:r>
        <w:rPr>
          <w:i/>
        </w:rPr>
        <w:t>*</w:t>
      </w:r>
      <w:r w:rsidR="007A5199">
        <w:rPr>
          <w:i/>
        </w:rPr>
        <w:t>*</w:t>
      </w:r>
      <w:r>
        <w:rPr>
          <w:i/>
        </w:rPr>
        <w:t xml:space="preserve">* “Total liabilities” refers to the aggregate of financial liabilities and non-financial liabilities. </w:t>
      </w:r>
    </w:p>
    <w:p w14:paraId="1D21BD3D" w14:textId="77777777" w:rsidR="00886754" w:rsidRDefault="00363BD5">
      <w:pPr>
        <w:ind w:left="1193"/>
        <w:rPr>
          <w:i/>
        </w:rPr>
      </w:pPr>
      <w:r>
        <w:rPr>
          <w:i/>
        </w:rPr>
        <w:t xml:space="preserve"> </w:t>
      </w:r>
    </w:p>
    <w:p w14:paraId="1D21BD3E" w14:textId="77777777" w:rsidR="00886754" w:rsidRDefault="00363BD5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ind w:hanging="721"/>
      </w:pPr>
      <w:r>
        <w:t>Top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deposits</w:t>
      </w:r>
      <w:r>
        <w:rPr>
          <w:spacing w:val="-1"/>
        </w:rPr>
        <w:t xml:space="preserve"> </w:t>
      </w:r>
      <w:r>
        <w:rPr>
          <w:spacing w:val="-3"/>
        </w:rPr>
        <w:t>(amount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₹</w:t>
      </w:r>
      <w:r>
        <w:rPr>
          <w:spacing w:val="-6"/>
        </w:rPr>
        <w:t xml:space="preserve"> </w:t>
      </w:r>
      <w:r>
        <w:t>crore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3"/>
        </w:rPr>
        <w:t>deposits)</w:t>
      </w:r>
    </w:p>
    <w:p w14:paraId="1D21BD3F" w14:textId="77777777" w:rsidR="00886754" w:rsidRDefault="00886754">
      <w:pPr>
        <w:pStyle w:val="BodyText"/>
        <w:spacing w:before="3"/>
        <w:ind w:left="0"/>
      </w:pPr>
    </w:p>
    <w:p w14:paraId="1D21BD40" w14:textId="77777777" w:rsidR="00886754" w:rsidRDefault="00363BD5">
      <w:pPr>
        <w:pStyle w:val="BodyText"/>
        <w:spacing w:line="237" w:lineRule="auto"/>
      </w:pPr>
      <w:r>
        <w:t>The Company being a Systemically Important Non-Deposit taking Non-Banking Financial Company registered with Reserve Bank of India, does not accept public deposits.</w:t>
      </w:r>
    </w:p>
    <w:p w14:paraId="1D21BD41" w14:textId="77777777" w:rsidR="00886754" w:rsidRDefault="00886754">
      <w:pPr>
        <w:pStyle w:val="BodyText"/>
        <w:spacing w:before="7"/>
        <w:ind w:left="0"/>
        <w:rPr>
          <w:sz w:val="17"/>
        </w:rPr>
      </w:pPr>
    </w:p>
    <w:p w14:paraId="1D21BD42" w14:textId="77777777" w:rsidR="00886754" w:rsidRDefault="00363BD5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56"/>
        <w:ind w:hanging="721"/>
      </w:pPr>
      <w:r>
        <w:t xml:space="preserve">Top 10 </w:t>
      </w:r>
      <w:r>
        <w:rPr>
          <w:spacing w:val="-3"/>
        </w:rPr>
        <w:t xml:space="preserve">borrowings (amount </w:t>
      </w:r>
      <w:r>
        <w:t>in ₹ crore and % of total</w:t>
      </w:r>
      <w:r>
        <w:rPr>
          <w:spacing w:val="-36"/>
        </w:rPr>
        <w:t xml:space="preserve"> </w:t>
      </w:r>
      <w:r>
        <w:rPr>
          <w:spacing w:val="-3"/>
        </w:rPr>
        <w:t>borrowings)</w:t>
      </w:r>
    </w:p>
    <w:p w14:paraId="1D21BD43" w14:textId="77777777" w:rsidR="00886754" w:rsidRDefault="00363BD5">
      <w:pPr>
        <w:spacing w:before="122"/>
        <w:ind w:left="7810"/>
        <w:rPr>
          <w:i/>
        </w:rPr>
      </w:pPr>
      <w:r>
        <w:rPr>
          <w:i/>
        </w:rPr>
        <w:t>(as at 31</w:t>
      </w:r>
      <w:r>
        <w:rPr>
          <w:i/>
          <w:vertAlign w:val="superscript"/>
        </w:rPr>
        <w:t>st</w:t>
      </w:r>
      <w:r>
        <w:rPr>
          <w:i/>
        </w:rPr>
        <w:t xml:space="preserve"> March, 2020) </w:t>
      </w:r>
    </w:p>
    <w:tbl>
      <w:tblPr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3967"/>
      </w:tblGrid>
      <w:tr w:rsidR="00886754" w14:paraId="1D21BD47" w14:textId="77777777">
        <w:trPr>
          <w:trHeight w:val="537"/>
        </w:trPr>
        <w:tc>
          <w:tcPr>
            <w:tcW w:w="4728" w:type="dxa"/>
          </w:tcPr>
          <w:p w14:paraId="1D21BD44" w14:textId="77777777" w:rsidR="00886754" w:rsidRDefault="00363BD5">
            <w:pPr>
              <w:pStyle w:val="TableParagraph"/>
              <w:spacing w:line="268" w:lineRule="exact"/>
              <w:ind w:left="377" w:right="367"/>
            </w:pPr>
            <w:r>
              <w:t>Amount (₹ crore) of Borrowings from Top 10</w:t>
            </w:r>
          </w:p>
          <w:p w14:paraId="1D21BD45" w14:textId="77777777" w:rsidR="00886754" w:rsidRDefault="00363BD5">
            <w:pPr>
              <w:pStyle w:val="TableParagraph"/>
              <w:spacing w:line="249" w:lineRule="exact"/>
              <w:ind w:left="377" w:right="364"/>
            </w:pPr>
            <w:r>
              <w:t>lenders</w:t>
            </w:r>
          </w:p>
        </w:tc>
        <w:tc>
          <w:tcPr>
            <w:tcW w:w="3967" w:type="dxa"/>
          </w:tcPr>
          <w:p w14:paraId="1D21BD46" w14:textId="77777777" w:rsidR="00886754" w:rsidRDefault="00363BD5">
            <w:pPr>
              <w:pStyle w:val="TableParagraph"/>
              <w:spacing w:line="268" w:lineRule="exact"/>
              <w:ind w:left="994" w:right="987"/>
            </w:pPr>
            <w:r>
              <w:t>% of Total Borrowings</w:t>
            </w:r>
          </w:p>
        </w:tc>
      </w:tr>
      <w:tr w:rsidR="00886754" w14:paraId="1D21BD4C" w14:textId="77777777">
        <w:trPr>
          <w:trHeight w:val="268"/>
        </w:trPr>
        <w:tc>
          <w:tcPr>
            <w:tcW w:w="4728" w:type="dxa"/>
          </w:tcPr>
          <w:p w14:paraId="1D21BD48" w14:textId="77777777" w:rsidR="002224D8" w:rsidRDefault="00C037D9" w:rsidP="002224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294.66</w:t>
            </w:r>
          </w:p>
          <w:p w14:paraId="1D21BD49" w14:textId="77777777" w:rsidR="00886754" w:rsidRDefault="00886754" w:rsidP="002224D8">
            <w:pPr>
              <w:pStyle w:val="TableParagraph"/>
              <w:ind w:left="376" w:right="367"/>
              <w:jc w:val="left"/>
            </w:pPr>
          </w:p>
        </w:tc>
        <w:tc>
          <w:tcPr>
            <w:tcW w:w="3967" w:type="dxa"/>
          </w:tcPr>
          <w:p w14:paraId="1D21BD4A" w14:textId="77777777" w:rsidR="002224D8" w:rsidRDefault="002224D8" w:rsidP="002224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21.55%</w:t>
            </w:r>
          </w:p>
          <w:p w14:paraId="1D21BD4B" w14:textId="77777777" w:rsidR="00886754" w:rsidRDefault="00886754">
            <w:pPr>
              <w:pStyle w:val="TableParagraph"/>
              <w:ind w:left="993" w:right="987"/>
            </w:pPr>
          </w:p>
        </w:tc>
      </w:tr>
    </w:tbl>
    <w:p w14:paraId="1D21BD4D" w14:textId="0F6D76EA" w:rsidR="00886754" w:rsidRDefault="00886754">
      <w:pPr>
        <w:pStyle w:val="BodyText"/>
        <w:spacing w:before="4"/>
        <w:ind w:left="0"/>
        <w:rPr>
          <w:i/>
          <w:sz w:val="17"/>
        </w:rPr>
      </w:pPr>
    </w:p>
    <w:p w14:paraId="75779F42" w14:textId="0925A649" w:rsidR="008C3587" w:rsidRDefault="008C3587">
      <w:pPr>
        <w:pStyle w:val="BodyText"/>
        <w:spacing w:before="4"/>
        <w:ind w:left="0"/>
        <w:rPr>
          <w:i/>
          <w:sz w:val="17"/>
        </w:rPr>
      </w:pPr>
    </w:p>
    <w:p w14:paraId="0468E303" w14:textId="46D9AF2C" w:rsidR="008C3587" w:rsidRDefault="008C3587">
      <w:pPr>
        <w:pStyle w:val="BodyText"/>
        <w:spacing w:before="4"/>
        <w:ind w:left="0"/>
        <w:rPr>
          <w:i/>
          <w:sz w:val="17"/>
        </w:rPr>
      </w:pPr>
    </w:p>
    <w:p w14:paraId="282216F5" w14:textId="77777777" w:rsidR="008C3587" w:rsidRDefault="008C3587">
      <w:pPr>
        <w:pStyle w:val="BodyText"/>
        <w:spacing w:before="4"/>
        <w:ind w:left="0"/>
        <w:rPr>
          <w:i/>
          <w:sz w:val="17"/>
        </w:rPr>
      </w:pPr>
    </w:p>
    <w:p w14:paraId="1D21BD4E" w14:textId="77777777" w:rsidR="00886754" w:rsidRDefault="00363BD5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56"/>
        <w:ind w:hanging="721"/>
      </w:pPr>
      <w:r>
        <w:rPr>
          <w:spacing w:val="-3"/>
        </w:rPr>
        <w:lastRenderedPageBreak/>
        <w:t xml:space="preserve">Funding Concentration based </w:t>
      </w:r>
      <w:r>
        <w:t xml:space="preserve">on </w:t>
      </w:r>
      <w:r>
        <w:rPr>
          <w:spacing w:val="-3"/>
        </w:rPr>
        <w:t xml:space="preserve">significant instrument 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product*</w:t>
      </w:r>
    </w:p>
    <w:p w14:paraId="1D21BD4F" w14:textId="77777777" w:rsidR="00886754" w:rsidRDefault="00363BD5">
      <w:pPr>
        <w:spacing w:before="123"/>
        <w:ind w:left="7810"/>
        <w:rPr>
          <w:i/>
        </w:rPr>
      </w:pPr>
      <w:r>
        <w:rPr>
          <w:i/>
        </w:rPr>
        <w:t>(as at 31</w:t>
      </w:r>
      <w:r>
        <w:rPr>
          <w:i/>
          <w:vertAlign w:val="superscript"/>
        </w:rPr>
        <w:t>st</w:t>
      </w:r>
      <w:r>
        <w:rPr>
          <w:i/>
        </w:rPr>
        <w:t xml:space="preserve"> March, 2020) </w:t>
      </w:r>
    </w:p>
    <w:tbl>
      <w:tblPr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4252"/>
        <w:gridCol w:w="1984"/>
        <w:gridCol w:w="1698"/>
      </w:tblGrid>
      <w:tr w:rsidR="00886754" w14:paraId="1D21BD55" w14:textId="77777777">
        <w:trPr>
          <w:trHeight w:val="537"/>
        </w:trPr>
        <w:tc>
          <w:tcPr>
            <w:tcW w:w="758" w:type="dxa"/>
          </w:tcPr>
          <w:p w14:paraId="1D21BD50" w14:textId="77777777" w:rsidR="00886754" w:rsidRDefault="00363BD5">
            <w:pPr>
              <w:pStyle w:val="TableParagraph"/>
              <w:spacing w:line="268" w:lineRule="exact"/>
              <w:ind w:left="93" w:right="80"/>
            </w:pPr>
            <w:r>
              <w:t>Sr, No</w:t>
            </w:r>
          </w:p>
        </w:tc>
        <w:tc>
          <w:tcPr>
            <w:tcW w:w="4252" w:type="dxa"/>
          </w:tcPr>
          <w:p w14:paraId="1D21BD51" w14:textId="77777777" w:rsidR="00886754" w:rsidRDefault="00363BD5">
            <w:pPr>
              <w:pStyle w:val="TableParagraph"/>
              <w:spacing w:line="268" w:lineRule="exact"/>
              <w:ind w:left="648"/>
              <w:jc w:val="left"/>
            </w:pPr>
            <w:r>
              <w:t>Name of the Instrument / Product</w:t>
            </w:r>
          </w:p>
        </w:tc>
        <w:tc>
          <w:tcPr>
            <w:tcW w:w="1984" w:type="dxa"/>
          </w:tcPr>
          <w:p w14:paraId="1D21BD52" w14:textId="77777777" w:rsidR="00886754" w:rsidRDefault="00363BD5">
            <w:pPr>
              <w:pStyle w:val="TableParagraph"/>
              <w:spacing w:line="268" w:lineRule="exact"/>
              <w:ind w:left="218" w:right="204"/>
            </w:pPr>
            <w:r>
              <w:t>Amount (₹ crore)</w:t>
            </w:r>
          </w:p>
        </w:tc>
        <w:tc>
          <w:tcPr>
            <w:tcW w:w="1698" w:type="dxa"/>
          </w:tcPr>
          <w:p w14:paraId="1D21BD53" w14:textId="77777777" w:rsidR="00886754" w:rsidRDefault="00363BD5">
            <w:pPr>
              <w:pStyle w:val="TableParagraph"/>
              <w:spacing w:line="268" w:lineRule="exact"/>
              <w:ind w:left="417"/>
              <w:jc w:val="left"/>
            </w:pPr>
            <w:r>
              <w:t>% of Total</w:t>
            </w:r>
          </w:p>
          <w:p w14:paraId="1D21BD54" w14:textId="77777777" w:rsidR="00886754" w:rsidRDefault="00363BD5">
            <w:pPr>
              <w:pStyle w:val="TableParagraph"/>
              <w:spacing w:line="249" w:lineRule="exact"/>
              <w:ind w:left="361"/>
              <w:jc w:val="left"/>
            </w:pPr>
            <w:r>
              <w:t>liabilities**</w:t>
            </w:r>
          </w:p>
        </w:tc>
      </w:tr>
      <w:tr w:rsidR="00886754" w14:paraId="1D21BD5D" w14:textId="77777777">
        <w:trPr>
          <w:trHeight w:val="268"/>
        </w:trPr>
        <w:tc>
          <w:tcPr>
            <w:tcW w:w="758" w:type="dxa"/>
          </w:tcPr>
          <w:p w14:paraId="1D21BD56" w14:textId="77777777" w:rsidR="00886754" w:rsidRDefault="00363BD5">
            <w:pPr>
              <w:pStyle w:val="TableParagraph"/>
              <w:ind w:left="89" w:right="80"/>
            </w:pPr>
            <w:r>
              <w:t>(1)</w:t>
            </w:r>
          </w:p>
        </w:tc>
        <w:tc>
          <w:tcPr>
            <w:tcW w:w="4252" w:type="dxa"/>
          </w:tcPr>
          <w:p w14:paraId="1D21BD57" w14:textId="77777777" w:rsidR="002224D8" w:rsidRDefault="002224D8" w:rsidP="002224D8">
            <w:pPr>
              <w:rPr>
                <w:rFonts w:ascii="Times New Roman" w:eastAsia="Times New Roman" w:hAnsi="Times New Roman" w:cs="Times New Roman"/>
              </w:rPr>
            </w:pPr>
            <w:r>
              <w:t>Market Borrowings</w:t>
            </w:r>
          </w:p>
          <w:p w14:paraId="1D21BD58" w14:textId="77777777" w:rsidR="00886754" w:rsidRDefault="00886754">
            <w:pPr>
              <w:pStyle w:val="TableParagraph"/>
              <w:ind w:left="108"/>
              <w:jc w:val="left"/>
            </w:pPr>
          </w:p>
        </w:tc>
        <w:tc>
          <w:tcPr>
            <w:tcW w:w="1984" w:type="dxa"/>
          </w:tcPr>
          <w:p w14:paraId="1D21BD59" w14:textId="77777777" w:rsidR="00C037D9" w:rsidRDefault="00C037D9" w:rsidP="0018486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1332.126</w:t>
            </w:r>
          </w:p>
          <w:p w14:paraId="1D21BD5A" w14:textId="77777777" w:rsidR="002224D8" w:rsidRDefault="002224D8" w:rsidP="00184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21BD5B" w14:textId="77777777" w:rsidR="00886754" w:rsidRDefault="00886754" w:rsidP="001848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1D21BD5C" w14:textId="77777777" w:rsidR="00886754" w:rsidRDefault="002224D8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92.83%</w:t>
            </w:r>
          </w:p>
        </w:tc>
      </w:tr>
      <w:tr w:rsidR="00886754" w14:paraId="1D21BD64" w14:textId="77777777" w:rsidTr="002224D8">
        <w:trPr>
          <w:trHeight w:val="413"/>
        </w:trPr>
        <w:tc>
          <w:tcPr>
            <w:tcW w:w="758" w:type="dxa"/>
          </w:tcPr>
          <w:p w14:paraId="1D21BD5E" w14:textId="4AB98A2A" w:rsidR="00886754" w:rsidRDefault="00184861">
            <w:pPr>
              <w:pStyle w:val="TableParagraph"/>
              <w:ind w:left="10"/>
            </w:pPr>
            <w:r>
              <w:t>(2)</w:t>
            </w:r>
          </w:p>
        </w:tc>
        <w:tc>
          <w:tcPr>
            <w:tcW w:w="4252" w:type="dxa"/>
          </w:tcPr>
          <w:p w14:paraId="1D21BD5F" w14:textId="77777777" w:rsidR="002224D8" w:rsidRDefault="002224D8" w:rsidP="002224D8">
            <w:pPr>
              <w:rPr>
                <w:rFonts w:ascii="Times New Roman" w:eastAsia="Times New Roman" w:hAnsi="Times New Roman" w:cs="Times New Roman"/>
              </w:rPr>
            </w:pPr>
            <w:r>
              <w:t>Term Loans</w:t>
            </w:r>
          </w:p>
          <w:p w14:paraId="1D21BD60" w14:textId="77777777" w:rsidR="00886754" w:rsidRDefault="00886754" w:rsidP="002224D8">
            <w:pPr>
              <w:pStyle w:val="TableParagraph"/>
              <w:jc w:val="left"/>
            </w:pPr>
          </w:p>
        </w:tc>
        <w:tc>
          <w:tcPr>
            <w:tcW w:w="1984" w:type="dxa"/>
          </w:tcPr>
          <w:p w14:paraId="1D21BD61" w14:textId="77777777" w:rsidR="002224D8" w:rsidRDefault="00D8762B" w:rsidP="001848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21.936</w:t>
            </w:r>
          </w:p>
          <w:p w14:paraId="1D21BD62" w14:textId="77777777" w:rsidR="00886754" w:rsidRDefault="00886754" w:rsidP="00184861">
            <w:pPr>
              <w:pStyle w:val="TableParagraph"/>
              <w:ind w:left="216" w:right="204"/>
            </w:pPr>
          </w:p>
        </w:tc>
        <w:tc>
          <w:tcPr>
            <w:tcW w:w="1698" w:type="dxa"/>
          </w:tcPr>
          <w:p w14:paraId="1D21BD63" w14:textId="77777777" w:rsidR="00886754" w:rsidRDefault="002224D8">
            <w:pPr>
              <w:pStyle w:val="TableParagraph"/>
              <w:ind w:left="503" w:right="489"/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1.53%</w:t>
            </w:r>
          </w:p>
        </w:tc>
      </w:tr>
    </w:tbl>
    <w:p w14:paraId="1D21BD65" w14:textId="77777777" w:rsidR="00886754" w:rsidRDefault="00886754">
      <w:pPr>
        <w:pStyle w:val="BodyText"/>
        <w:spacing w:before="2"/>
        <w:ind w:left="0"/>
        <w:rPr>
          <w:i/>
          <w:sz w:val="17"/>
        </w:rPr>
      </w:pPr>
    </w:p>
    <w:p w14:paraId="1D21BD66" w14:textId="77777777" w:rsidR="00886754" w:rsidRDefault="002224D8">
      <w:pPr>
        <w:pStyle w:val="BodyText"/>
        <w:ind w:left="0"/>
        <w:rPr>
          <w:i/>
        </w:rPr>
      </w:pPr>
      <w:r>
        <w:rPr>
          <w:i/>
        </w:rPr>
        <w:t xml:space="preserve">                         </w:t>
      </w:r>
    </w:p>
    <w:p w14:paraId="1D21BD67" w14:textId="11422C52" w:rsidR="002224D8" w:rsidRPr="002224D8" w:rsidRDefault="002224D8" w:rsidP="005959F3">
      <w:pPr>
        <w:ind w:left="720"/>
        <w:rPr>
          <w:rFonts w:ascii="Times New Roman" w:eastAsia="Times New Roman" w:hAnsi="Times New Roman" w:cs="Times New Roman"/>
          <w:i/>
          <w:iCs/>
          <w:lang w:val="en-IN" w:eastAsia="en-IN"/>
        </w:rPr>
      </w:pPr>
      <w:r>
        <w:rPr>
          <w:i/>
        </w:rPr>
        <w:t xml:space="preserve"> </w:t>
      </w:r>
      <w:r w:rsidRPr="002224D8">
        <w:rPr>
          <w:rFonts w:ascii="Times New Roman" w:eastAsia="Times New Roman" w:hAnsi="Times New Roman" w:cs="Times New Roman"/>
          <w:i/>
          <w:iCs/>
          <w:lang w:val="en-IN" w:eastAsia="en-IN"/>
        </w:rPr>
        <w:t>* "significant instrument/product" is defined as a single instrument/product of group of similar instruments/products which in aggregate amount to more than 1% of the NBFC-NDSI's total liabilities.</w:t>
      </w:r>
    </w:p>
    <w:p w14:paraId="1D21BD68" w14:textId="77777777" w:rsidR="002224D8" w:rsidRDefault="002224D8">
      <w:pPr>
        <w:pStyle w:val="BodyText"/>
        <w:ind w:left="0"/>
        <w:rPr>
          <w:i/>
        </w:rPr>
      </w:pPr>
    </w:p>
    <w:p w14:paraId="1D21BD69" w14:textId="32AAEEDA" w:rsidR="002224D8" w:rsidRPr="002224D8" w:rsidRDefault="002224D8" w:rsidP="002224D8">
      <w:pPr>
        <w:widowControl/>
        <w:autoSpaceDE/>
        <w:autoSpaceDN/>
        <w:rPr>
          <w:rFonts w:ascii="Times New Roman" w:eastAsia="Times New Roman" w:hAnsi="Times New Roman" w:cs="Times New Roman"/>
          <w:i/>
          <w:iCs/>
          <w:lang w:val="en-IN" w:eastAsia="en-IN"/>
        </w:rPr>
      </w:pPr>
      <w:r>
        <w:rPr>
          <w:rFonts w:ascii="Times New Roman" w:eastAsia="Times New Roman" w:hAnsi="Times New Roman" w:cs="Times New Roman"/>
          <w:i/>
          <w:iCs/>
          <w:lang w:val="en-IN" w:eastAsia="en-IN"/>
        </w:rPr>
        <w:t xml:space="preserve">             </w:t>
      </w:r>
      <w:r w:rsidRPr="002224D8">
        <w:rPr>
          <w:rFonts w:ascii="Times New Roman" w:eastAsia="Times New Roman" w:hAnsi="Times New Roman" w:cs="Times New Roman"/>
          <w:i/>
          <w:iCs/>
          <w:lang w:val="en-IN" w:eastAsia="en-IN"/>
        </w:rPr>
        <w:t>** “Total liabilities ” refers to total external liabilities (i.e. excluding total equity).</w:t>
      </w:r>
    </w:p>
    <w:p w14:paraId="1D21BD6A" w14:textId="77777777" w:rsidR="00886754" w:rsidRDefault="00363BD5">
      <w:pPr>
        <w:ind w:left="1193"/>
        <w:rPr>
          <w:i/>
        </w:rPr>
      </w:pPr>
      <w:r>
        <w:rPr>
          <w:i/>
        </w:rPr>
        <w:t xml:space="preserve"> </w:t>
      </w:r>
    </w:p>
    <w:p w14:paraId="1D21BD6B" w14:textId="77777777" w:rsidR="00886754" w:rsidRDefault="00363BD5">
      <w:pPr>
        <w:ind w:left="1193"/>
        <w:rPr>
          <w:i/>
        </w:rPr>
      </w:pPr>
      <w:r>
        <w:rPr>
          <w:i/>
        </w:rPr>
        <w:t xml:space="preserve"> </w:t>
      </w:r>
    </w:p>
    <w:p w14:paraId="1D21BD6C" w14:textId="77777777" w:rsidR="00113917" w:rsidRDefault="00113917">
      <w:pPr>
        <w:ind w:left="1193"/>
        <w:rPr>
          <w:i/>
        </w:rPr>
      </w:pPr>
    </w:p>
    <w:p w14:paraId="1D21BD6D" w14:textId="77777777" w:rsidR="00113917" w:rsidRDefault="00113917">
      <w:pPr>
        <w:ind w:left="1193"/>
        <w:rPr>
          <w:i/>
        </w:rPr>
      </w:pPr>
    </w:p>
    <w:p w14:paraId="1D21BD6E" w14:textId="77777777" w:rsidR="00886754" w:rsidRDefault="00363BD5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ind w:hanging="721"/>
      </w:pPr>
      <w:r>
        <w:t>Stock</w:t>
      </w:r>
      <w:r>
        <w:rPr>
          <w:spacing w:val="-5"/>
        </w:rPr>
        <w:t xml:space="preserve"> </w:t>
      </w:r>
      <w:r>
        <w:t>Ratios</w:t>
      </w:r>
    </w:p>
    <w:p w14:paraId="1D21BD6F" w14:textId="77777777" w:rsidR="00886754" w:rsidRDefault="00363BD5">
      <w:pPr>
        <w:spacing w:before="86"/>
        <w:ind w:right="109"/>
        <w:jc w:val="right"/>
        <w:rPr>
          <w:i/>
        </w:rPr>
      </w:pPr>
      <w:r>
        <w:rPr>
          <w:i/>
        </w:rPr>
        <w:t>as at 31</w:t>
      </w:r>
      <w:r>
        <w:rPr>
          <w:i/>
          <w:vertAlign w:val="superscript"/>
        </w:rPr>
        <w:t>st</w:t>
      </w:r>
      <w:r>
        <w:rPr>
          <w:i/>
        </w:rPr>
        <w:t xml:space="preserve"> March, 2020) </w:t>
      </w:r>
    </w:p>
    <w:tbl>
      <w:tblPr>
        <w:tblStyle w:val="TableGrid"/>
        <w:tblW w:w="0" w:type="auto"/>
        <w:tblInd w:w="1193" w:type="dxa"/>
        <w:tblLook w:val="04A0" w:firstRow="1" w:lastRow="0" w:firstColumn="1" w:lastColumn="0" w:noHBand="0" w:noVBand="1"/>
      </w:tblPr>
      <w:tblGrid>
        <w:gridCol w:w="6286"/>
        <w:gridCol w:w="2817"/>
      </w:tblGrid>
      <w:tr w:rsidR="002224D8" w14:paraId="1D21BD72" w14:textId="77777777" w:rsidTr="003E6436">
        <w:trPr>
          <w:trHeight w:val="336"/>
        </w:trPr>
        <w:tc>
          <w:tcPr>
            <w:tcW w:w="6286" w:type="dxa"/>
          </w:tcPr>
          <w:p w14:paraId="1D21BD70" w14:textId="77777777" w:rsidR="002224D8" w:rsidRPr="002224D8" w:rsidRDefault="003E6436" w:rsidP="002224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A] </w:t>
            </w:r>
            <w:r w:rsidR="002224D8">
              <w:t>Commercial Papers (Net Outstanding)</w:t>
            </w:r>
          </w:p>
        </w:tc>
        <w:tc>
          <w:tcPr>
            <w:tcW w:w="2817" w:type="dxa"/>
          </w:tcPr>
          <w:p w14:paraId="1D21BD71" w14:textId="77777777" w:rsidR="002224D8" w:rsidRPr="003E6436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-   </w:t>
            </w:r>
          </w:p>
        </w:tc>
      </w:tr>
      <w:tr w:rsidR="003E6436" w14:paraId="1D21BD75" w14:textId="77777777" w:rsidTr="002224D8">
        <w:tc>
          <w:tcPr>
            <w:tcW w:w="6286" w:type="dxa"/>
          </w:tcPr>
          <w:p w14:paraId="1D21BD73" w14:textId="77777777" w:rsidR="003E6436" w:rsidRPr="002224D8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i) Commercial Papers as % of total public funds *</w:t>
            </w:r>
          </w:p>
        </w:tc>
        <w:tc>
          <w:tcPr>
            <w:tcW w:w="2817" w:type="dxa"/>
          </w:tcPr>
          <w:p w14:paraId="1D21BD74" w14:textId="77777777" w:rsidR="003E6436" w:rsidRDefault="003E6436" w:rsidP="003E64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>0.00%</w:t>
            </w:r>
          </w:p>
        </w:tc>
      </w:tr>
      <w:tr w:rsidR="003E6436" w14:paraId="1D21BD78" w14:textId="77777777" w:rsidTr="002224D8">
        <w:trPr>
          <w:trHeight w:val="271"/>
        </w:trPr>
        <w:tc>
          <w:tcPr>
            <w:tcW w:w="6286" w:type="dxa"/>
          </w:tcPr>
          <w:p w14:paraId="1D21BD76" w14:textId="3A5A1059" w:rsidR="003E6436" w:rsidRPr="002224D8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i</w:t>
            </w:r>
            <w:r w:rsidR="005F419F">
              <w:t>i</w:t>
            </w:r>
            <w:r>
              <w:t>) Commercial Papers as % of Total Liabilities ***</w:t>
            </w:r>
          </w:p>
        </w:tc>
        <w:tc>
          <w:tcPr>
            <w:tcW w:w="2817" w:type="dxa"/>
          </w:tcPr>
          <w:p w14:paraId="1D21BD77" w14:textId="77777777" w:rsidR="003E6436" w:rsidRDefault="003E6436" w:rsidP="003E6436">
            <w:pPr>
              <w:jc w:val="right"/>
            </w:pPr>
            <w:r>
              <w:t>0.00%</w:t>
            </w:r>
          </w:p>
        </w:tc>
      </w:tr>
      <w:tr w:rsidR="003E6436" w14:paraId="1D21BD7B" w14:textId="77777777" w:rsidTr="002224D8">
        <w:tc>
          <w:tcPr>
            <w:tcW w:w="6286" w:type="dxa"/>
          </w:tcPr>
          <w:p w14:paraId="1D21BD79" w14:textId="15010C60" w:rsidR="003E6436" w:rsidRPr="002224D8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i</w:t>
            </w:r>
            <w:r w:rsidR="005F419F">
              <w:t>ii</w:t>
            </w:r>
            <w:r>
              <w:t>) Commercial Papers as % of Total Assets</w:t>
            </w:r>
          </w:p>
        </w:tc>
        <w:tc>
          <w:tcPr>
            <w:tcW w:w="2817" w:type="dxa"/>
          </w:tcPr>
          <w:p w14:paraId="1D21BD7A" w14:textId="77777777" w:rsidR="003E6436" w:rsidRDefault="003E6436" w:rsidP="003E6436">
            <w:pPr>
              <w:jc w:val="right"/>
            </w:pPr>
            <w:r>
              <w:t>0.00%</w:t>
            </w:r>
          </w:p>
        </w:tc>
      </w:tr>
      <w:tr w:rsidR="002224D8" w14:paraId="1D21BD7E" w14:textId="77777777" w:rsidTr="002224D8">
        <w:tc>
          <w:tcPr>
            <w:tcW w:w="6286" w:type="dxa"/>
          </w:tcPr>
          <w:p w14:paraId="1D21BD7C" w14:textId="77777777" w:rsidR="002224D8" w:rsidRDefault="002224D8">
            <w:pPr>
              <w:spacing w:before="119"/>
              <w:jc w:val="both"/>
            </w:pPr>
          </w:p>
        </w:tc>
        <w:tc>
          <w:tcPr>
            <w:tcW w:w="2817" w:type="dxa"/>
          </w:tcPr>
          <w:p w14:paraId="1D21BD7D" w14:textId="77777777" w:rsidR="002224D8" w:rsidRDefault="002224D8">
            <w:pPr>
              <w:spacing w:before="119"/>
              <w:jc w:val="both"/>
            </w:pPr>
          </w:p>
        </w:tc>
      </w:tr>
      <w:tr w:rsidR="003E6436" w14:paraId="1D21BD81" w14:textId="77777777" w:rsidTr="002224D8">
        <w:tc>
          <w:tcPr>
            <w:tcW w:w="6286" w:type="dxa"/>
          </w:tcPr>
          <w:p w14:paraId="1D21BD7F" w14:textId="77777777" w:rsidR="003E6436" w:rsidRPr="003E6436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B] Non-convertible debentures (original maturity of less than one year)</w:t>
            </w:r>
          </w:p>
        </w:tc>
        <w:tc>
          <w:tcPr>
            <w:tcW w:w="2817" w:type="dxa"/>
          </w:tcPr>
          <w:p w14:paraId="1D21BD80" w14:textId="77777777" w:rsidR="003E6436" w:rsidRPr="003E6436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-   </w:t>
            </w:r>
          </w:p>
        </w:tc>
      </w:tr>
      <w:tr w:rsidR="003E6436" w14:paraId="1D21BD84" w14:textId="77777777" w:rsidTr="002224D8">
        <w:tc>
          <w:tcPr>
            <w:tcW w:w="6286" w:type="dxa"/>
          </w:tcPr>
          <w:p w14:paraId="1D21BD82" w14:textId="77777777" w:rsidR="003E6436" w:rsidRDefault="003E6436" w:rsidP="003E6436">
            <w:pPr>
              <w:rPr>
                <w:rFonts w:ascii="Times New Roman" w:eastAsia="Times New Roman" w:hAnsi="Times New Roman" w:cs="Times New Roman"/>
              </w:rPr>
            </w:pPr>
            <w:r>
              <w:t>i) Non-convertible debentures as % of total public funds *</w:t>
            </w:r>
          </w:p>
        </w:tc>
        <w:tc>
          <w:tcPr>
            <w:tcW w:w="2817" w:type="dxa"/>
          </w:tcPr>
          <w:p w14:paraId="1D21BD83" w14:textId="77777777" w:rsidR="003E6436" w:rsidRDefault="003E6436" w:rsidP="003E64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>0.00%</w:t>
            </w:r>
          </w:p>
        </w:tc>
      </w:tr>
      <w:tr w:rsidR="003E6436" w14:paraId="1D21BD87" w14:textId="77777777" w:rsidTr="002224D8">
        <w:tc>
          <w:tcPr>
            <w:tcW w:w="6286" w:type="dxa"/>
          </w:tcPr>
          <w:p w14:paraId="1D21BD85" w14:textId="64447BB7" w:rsidR="003E6436" w:rsidRDefault="003E6436" w:rsidP="003E6436">
            <w:r>
              <w:t>i</w:t>
            </w:r>
            <w:r w:rsidR="005F419F">
              <w:t>i</w:t>
            </w:r>
            <w:r>
              <w:t>) Non-convertible debentures as % of Total Liabilities ***</w:t>
            </w:r>
          </w:p>
        </w:tc>
        <w:tc>
          <w:tcPr>
            <w:tcW w:w="2817" w:type="dxa"/>
          </w:tcPr>
          <w:p w14:paraId="1D21BD86" w14:textId="77777777" w:rsidR="003E6436" w:rsidRDefault="003E6436" w:rsidP="003E6436">
            <w:pPr>
              <w:jc w:val="right"/>
            </w:pPr>
            <w:r>
              <w:t>0.00%</w:t>
            </w:r>
          </w:p>
        </w:tc>
      </w:tr>
      <w:tr w:rsidR="003E6436" w14:paraId="1D21BD8A" w14:textId="77777777" w:rsidTr="002224D8">
        <w:tc>
          <w:tcPr>
            <w:tcW w:w="6286" w:type="dxa"/>
          </w:tcPr>
          <w:p w14:paraId="1D21BD88" w14:textId="03867BE0" w:rsidR="003E6436" w:rsidRDefault="003E6436" w:rsidP="003E6436">
            <w:r>
              <w:t>i</w:t>
            </w:r>
            <w:r w:rsidR="005F419F">
              <w:t>ii</w:t>
            </w:r>
            <w:r>
              <w:t>) Non-convertible debentures as % of Total Assets</w:t>
            </w:r>
          </w:p>
        </w:tc>
        <w:tc>
          <w:tcPr>
            <w:tcW w:w="2817" w:type="dxa"/>
          </w:tcPr>
          <w:p w14:paraId="1D21BD89" w14:textId="77777777" w:rsidR="003E6436" w:rsidRDefault="003E6436" w:rsidP="003E6436">
            <w:pPr>
              <w:jc w:val="right"/>
            </w:pPr>
            <w:r>
              <w:t>0.00%</w:t>
            </w:r>
          </w:p>
        </w:tc>
      </w:tr>
      <w:tr w:rsidR="002224D8" w14:paraId="1D21BD8D" w14:textId="77777777" w:rsidTr="002224D8">
        <w:tc>
          <w:tcPr>
            <w:tcW w:w="6286" w:type="dxa"/>
          </w:tcPr>
          <w:p w14:paraId="1D21BD8B" w14:textId="77777777" w:rsidR="002224D8" w:rsidRDefault="002224D8">
            <w:pPr>
              <w:spacing w:before="119"/>
              <w:jc w:val="both"/>
            </w:pPr>
          </w:p>
        </w:tc>
        <w:tc>
          <w:tcPr>
            <w:tcW w:w="2817" w:type="dxa"/>
          </w:tcPr>
          <w:p w14:paraId="1D21BD8C" w14:textId="77777777" w:rsidR="002224D8" w:rsidRDefault="002224D8">
            <w:pPr>
              <w:spacing w:before="119"/>
              <w:jc w:val="both"/>
            </w:pPr>
          </w:p>
        </w:tc>
      </w:tr>
      <w:tr w:rsidR="003E6436" w14:paraId="1D21BD90" w14:textId="77777777" w:rsidTr="002224D8">
        <w:tc>
          <w:tcPr>
            <w:tcW w:w="6286" w:type="dxa"/>
          </w:tcPr>
          <w:p w14:paraId="1D21BD8E" w14:textId="77777777" w:rsidR="003E6436" w:rsidRDefault="003E6436" w:rsidP="003E6436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Other Short term liabilities **</w:t>
            </w:r>
          </w:p>
        </w:tc>
        <w:tc>
          <w:tcPr>
            <w:tcW w:w="2817" w:type="dxa"/>
          </w:tcPr>
          <w:p w14:paraId="1D21BD8F" w14:textId="77777777" w:rsidR="003E6436" w:rsidRPr="003E6436" w:rsidRDefault="003E6436" w:rsidP="003E64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     13</w:t>
            </w:r>
            <w:r w:rsidR="00D8762B">
              <w:t>.2</w:t>
            </w:r>
            <w:r>
              <w:t xml:space="preserve">75 </w:t>
            </w:r>
          </w:p>
        </w:tc>
      </w:tr>
      <w:tr w:rsidR="003E6436" w14:paraId="1D21BD93" w14:textId="77777777" w:rsidTr="002224D8">
        <w:tc>
          <w:tcPr>
            <w:tcW w:w="6286" w:type="dxa"/>
          </w:tcPr>
          <w:p w14:paraId="1D21BD91" w14:textId="77777777" w:rsidR="003E6436" w:rsidRDefault="003E6436" w:rsidP="003E6436">
            <w:r>
              <w:t>i) Other Short term liabilities as % of total public funds *</w:t>
            </w:r>
          </w:p>
        </w:tc>
        <w:tc>
          <w:tcPr>
            <w:tcW w:w="2817" w:type="dxa"/>
          </w:tcPr>
          <w:p w14:paraId="1D21BD92" w14:textId="77777777" w:rsidR="003E6436" w:rsidRDefault="003E6436" w:rsidP="003E64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>0.97%</w:t>
            </w:r>
          </w:p>
        </w:tc>
      </w:tr>
      <w:tr w:rsidR="003E6436" w14:paraId="1D21BD96" w14:textId="77777777" w:rsidTr="002224D8">
        <w:tc>
          <w:tcPr>
            <w:tcW w:w="6286" w:type="dxa"/>
          </w:tcPr>
          <w:p w14:paraId="1D21BD94" w14:textId="77777777" w:rsidR="003E6436" w:rsidRDefault="003E6436" w:rsidP="003E6436">
            <w:r>
              <w:t>i) Other Short term liabilities as % of Total Liabilities ***</w:t>
            </w:r>
          </w:p>
        </w:tc>
        <w:tc>
          <w:tcPr>
            <w:tcW w:w="2817" w:type="dxa"/>
          </w:tcPr>
          <w:p w14:paraId="1D21BD95" w14:textId="77777777" w:rsidR="003E6436" w:rsidRDefault="003E6436" w:rsidP="003E6436">
            <w:pPr>
              <w:jc w:val="right"/>
            </w:pPr>
            <w:r>
              <w:t>0.93%</w:t>
            </w:r>
          </w:p>
        </w:tc>
      </w:tr>
      <w:tr w:rsidR="003E6436" w14:paraId="1D21BD9A" w14:textId="77777777" w:rsidTr="002224D8">
        <w:tc>
          <w:tcPr>
            <w:tcW w:w="6286" w:type="dxa"/>
          </w:tcPr>
          <w:p w14:paraId="1D21BD97" w14:textId="77777777" w:rsidR="003E6436" w:rsidRDefault="003E6436" w:rsidP="003E6436">
            <w:pPr>
              <w:rPr>
                <w:rFonts w:ascii="Times New Roman" w:eastAsia="Times New Roman" w:hAnsi="Times New Roman" w:cs="Times New Roman"/>
              </w:rPr>
            </w:pPr>
            <w:r>
              <w:t>i) Other Short term liabilities % of Total Assets</w:t>
            </w:r>
          </w:p>
          <w:p w14:paraId="1D21BD98" w14:textId="77777777" w:rsidR="003E6436" w:rsidRDefault="003E6436" w:rsidP="003E6436"/>
        </w:tc>
        <w:tc>
          <w:tcPr>
            <w:tcW w:w="2817" w:type="dxa"/>
          </w:tcPr>
          <w:p w14:paraId="1D21BD99" w14:textId="77777777" w:rsidR="003E6436" w:rsidRDefault="003E6436" w:rsidP="003E6436">
            <w:pPr>
              <w:jc w:val="right"/>
            </w:pPr>
            <w:r>
              <w:t>0.54%</w:t>
            </w:r>
          </w:p>
        </w:tc>
      </w:tr>
    </w:tbl>
    <w:tbl>
      <w:tblPr>
        <w:tblW w:w="13860" w:type="dxa"/>
        <w:tblInd w:w="720" w:type="dxa"/>
        <w:tblLook w:val="04A0" w:firstRow="1" w:lastRow="0" w:firstColumn="1" w:lastColumn="0" w:noHBand="0" w:noVBand="1"/>
      </w:tblPr>
      <w:tblGrid>
        <w:gridCol w:w="13860"/>
      </w:tblGrid>
      <w:tr w:rsidR="003E6436" w:rsidRPr="003E6436" w14:paraId="1D21BD9F" w14:textId="77777777" w:rsidTr="003E6436">
        <w:trPr>
          <w:trHeight w:val="30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BD9B" w14:textId="77777777" w:rsid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</w:pPr>
          </w:p>
          <w:p w14:paraId="1D21BD9C" w14:textId="77777777" w:rsid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  <w:t xml:space="preserve">     </w:t>
            </w:r>
            <w:r w:rsidRPr="003E6436"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  <w:t xml:space="preserve">* “Total public funds” refers to the aggregate of Debt securities, Borrowing other than debt securities and </w:t>
            </w:r>
          </w:p>
          <w:p w14:paraId="1D21BD9D" w14:textId="77777777" w:rsid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  <w:t xml:space="preserve">      </w:t>
            </w:r>
            <w:r w:rsidRPr="003E6436"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  <w:t>Subordinated liabilities.</w:t>
            </w:r>
          </w:p>
          <w:p w14:paraId="1D21BD9E" w14:textId="77777777" w:rsidR="00113917" w:rsidRPr="003E6436" w:rsidRDefault="0011391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lang w:val="en-IN" w:eastAsia="en-IN"/>
              </w:rPr>
            </w:pPr>
          </w:p>
        </w:tc>
      </w:tr>
    </w:tbl>
    <w:p w14:paraId="1D21BDA0" w14:textId="77777777" w:rsidR="003E6436" w:rsidRDefault="003E6436" w:rsidP="003E6436">
      <w:pPr>
        <w:widowControl/>
        <w:autoSpaceDE/>
        <w:autoSpaceDN/>
        <w:ind w:left="612"/>
        <w:jc w:val="both"/>
        <w:rPr>
          <w:rFonts w:ascii="Times New Roman" w:eastAsia="Times New Roman" w:hAnsi="Times New Roman" w:cs="Times New Roman"/>
          <w:i/>
          <w:iCs/>
          <w:lang w:val="en-IN" w:eastAsia="en-IN"/>
        </w:rPr>
      </w:pPr>
      <w:r>
        <w:rPr>
          <w:rFonts w:ascii="Times New Roman" w:eastAsia="Times New Roman" w:hAnsi="Times New Roman" w:cs="Times New Roman"/>
          <w:i/>
          <w:iCs/>
          <w:lang w:val="en-IN" w:eastAsia="en-IN"/>
        </w:rPr>
        <w:t xml:space="preserve">      </w:t>
      </w:r>
      <w:r w:rsidRPr="003E6436">
        <w:rPr>
          <w:rFonts w:ascii="Times New Roman" w:eastAsia="Times New Roman" w:hAnsi="Times New Roman" w:cs="Times New Roman"/>
          <w:i/>
          <w:iCs/>
          <w:lang w:val="en-IN" w:eastAsia="en-IN"/>
        </w:rPr>
        <w:t>** “Other short-term liabilities” refers to the borrowing in short term in nature.</w:t>
      </w:r>
    </w:p>
    <w:p w14:paraId="1D21BDA1" w14:textId="77777777" w:rsidR="00113917" w:rsidRDefault="00113917" w:rsidP="003E6436">
      <w:pPr>
        <w:widowControl/>
        <w:autoSpaceDE/>
        <w:autoSpaceDN/>
        <w:ind w:left="612"/>
        <w:jc w:val="both"/>
        <w:rPr>
          <w:rFonts w:ascii="Times New Roman" w:eastAsia="Times New Roman" w:hAnsi="Times New Roman" w:cs="Times New Roman"/>
          <w:i/>
          <w:iCs/>
          <w:lang w:val="en-IN" w:eastAsia="en-IN"/>
        </w:rPr>
      </w:pPr>
    </w:p>
    <w:p w14:paraId="1D21BDA2" w14:textId="77777777" w:rsidR="003E6436" w:rsidRPr="003E6436" w:rsidRDefault="003E6436" w:rsidP="003E6436">
      <w:pPr>
        <w:ind w:left="612"/>
        <w:jc w:val="both"/>
        <w:rPr>
          <w:rFonts w:ascii="Times New Roman" w:eastAsia="Times New Roman" w:hAnsi="Times New Roman" w:cs="Times New Roman"/>
          <w:i/>
          <w:iCs/>
          <w:lang w:val="en-IN" w:eastAsia="en-IN"/>
        </w:rPr>
      </w:pPr>
      <w:r>
        <w:rPr>
          <w:rFonts w:ascii="Times New Roman" w:eastAsia="Times New Roman" w:hAnsi="Times New Roman" w:cs="Times New Roman"/>
          <w:i/>
          <w:iCs/>
          <w:lang w:val="en-IN" w:eastAsia="en-IN"/>
        </w:rPr>
        <w:t xml:space="preserve">     </w:t>
      </w:r>
      <w:r w:rsidRPr="003E6436">
        <w:rPr>
          <w:rFonts w:ascii="Times New Roman" w:eastAsia="Times New Roman" w:hAnsi="Times New Roman" w:cs="Times New Roman"/>
          <w:i/>
          <w:iCs/>
          <w:lang w:val="en-IN" w:eastAsia="en-IN"/>
        </w:rPr>
        <w:t>*** “Total liabilities ” refers to total external liabilities (i.e. excluding total equity).</w:t>
      </w:r>
    </w:p>
    <w:p w14:paraId="1D21BDA3" w14:textId="77777777" w:rsidR="003E6436" w:rsidRPr="003E6436" w:rsidRDefault="003E6436" w:rsidP="003E6436">
      <w:pPr>
        <w:widowControl/>
        <w:autoSpaceDE/>
        <w:autoSpaceDN/>
        <w:ind w:left="1440"/>
        <w:jc w:val="both"/>
        <w:rPr>
          <w:rFonts w:ascii="Times New Roman" w:eastAsia="Times New Roman" w:hAnsi="Times New Roman" w:cs="Times New Roman"/>
          <w:i/>
          <w:iCs/>
          <w:lang w:val="en-IN" w:eastAsia="en-IN"/>
        </w:rPr>
      </w:pPr>
    </w:p>
    <w:tbl>
      <w:tblPr>
        <w:tblW w:w="14537" w:type="dxa"/>
        <w:tblInd w:w="108" w:type="dxa"/>
        <w:tblLook w:val="04A0" w:firstRow="1" w:lastRow="0" w:firstColumn="1" w:lastColumn="0" w:noHBand="0" w:noVBand="1"/>
      </w:tblPr>
      <w:tblGrid>
        <w:gridCol w:w="2038"/>
        <w:gridCol w:w="2037"/>
        <w:gridCol w:w="2037"/>
        <w:gridCol w:w="1685"/>
        <w:gridCol w:w="1685"/>
        <w:gridCol w:w="1685"/>
        <w:gridCol w:w="1685"/>
        <w:gridCol w:w="1685"/>
      </w:tblGrid>
      <w:tr w:rsidR="003E6436" w:rsidRPr="003E6436" w14:paraId="1D21BDAA" w14:textId="77777777" w:rsidTr="004C38CE">
        <w:trPr>
          <w:trHeight w:val="300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A4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A5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A6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A7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A8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A9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B7" w14:textId="77777777" w:rsidTr="004C38CE">
        <w:trPr>
          <w:trHeight w:val="16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AB" w14:textId="77777777" w:rsid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1D21BDAC" w14:textId="77777777" w:rsidR="00113917" w:rsidRDefault="0011391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1D21BDAD" w14:textId="77777777" w:rsidR="00113917" w:rsidRDefault="0011391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1D21BDAE" w14:textId="77777777" w:rsidR="00113917" w:rsidRDefault="0011391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1D21BDAF" w14:textId="77777777" w:rsidR="00113917" w:rsidRPr="003E6436" w:rsidRDefault="0011391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0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1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2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3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4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B5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B6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B9" w14:textId="77777777" w:rsidTr="004C38CE">
        <w:trPr>
          <w:trHeight w:val="315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DB8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</w:tr>
      <w:tr w:rsidR="003E6436" w:rsidRPr="003E6436" w14:paraId="1D21BDC2" w14:textId="77777777" w:rsidTr="004C38CE">
        <w:trPr>
          <w:trHeight w:val="15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A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B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C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D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E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BF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C0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C1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C6" w14:textId="77777777" w:rsidTr="004C38CE">
        <w:trPr>
          <w:trHeight w:val="300"/>
        </w:trPr>
        <w:tc>
          <w:tcPr>
            <w:tcW w:w="11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DC3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C4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C5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CF" w14:textId="77777777" w:rsidTr="004C38CE">
        <w:trPr>
          <w:trHeight w:val="15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C7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C8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C9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CA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CB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CC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CD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CE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D1" w14:textId="77777777" w:rsidTr="004C38CE">
        <w:trPr>
          <w:trHeight w:val="315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DD0" w14:textId="77777777" w:rsidR="003E6436" w:rsidRPr="003E6436" w:rsidRDefault="003E6436" w:rsidP="003E6436">
            <w:pPr>
              <w:pStyle w:val="ListParagraph"/>
              <w:widowControl/>
              <w:autoSpaceDE/>
              <w:autoSpaceDN/>
              <w:ind w:left="580" w:firstLine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</w:tr>
      <w:tr w:rsidR="003E6436" w:rsidRPr="003E6436" w14:paraId="1D21BDDA" w14:textId="77777777" w:rsidTr="004C38CE">
        <w:trPr>
          <w:trHeight w:val="15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2" w14:textId="77777777" w:rsidR="003E6436" w:rsidRPr="003E6436" w:rsidRDefault="003E6436" w:rsidP="003E6436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3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4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5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6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7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D8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D9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DC" w14:textId="77777777" w:rsidTr="004C38CE">
        <w:trPr>
          <w:trHeight w:val="600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DDB" w14:textId="77777777" w:rsidR="003E6436" w:rsidRPr="003E6436" w:rsidRDefault="003E6436" w:rsidP="003E6436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</w:tr>
      <w:tr w:rsidR="003E6436" w:rsidRPr="003E6436" w14:paraId="1D21BDE5" w14:textId="77777777" w:rsidTr="004C38CE">
        <w:trPr>
          <w:trHeight w:val="15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D" w14:textId="77777777" w:rsidR="003E6436" w:rsidRPr="003E6436" w:rsidRDefault="003E6436" w:rsidP="003E6436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E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DF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E0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E1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E2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E3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1BDE4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DE7" w14:textId="77777777" w:rsidTr="004C38CE">
        <w:trPr>
          <w:trHeight w:val="600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DE6" w14:textId="77777777" w:rsidR="003E6436" w:rsidRPr="003E6436" w:rsidRDefault="003E6436" w:rsidP="003E6436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</w:tr>
      <w:tr w:rsidR="003E6436" w:rsidRPr="003E6436" w14:paraId="1D21BDF0" w14:textId="77777777" w:rsidTr="004C38CE">
        <w:trPr>
          <w:trHeight w:val="15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DE8" w14:textId="77777777" w:rsidR="003E6436" w:rsidRPr="003E6436" w:rsidRDefault="003E6436" w:rsidP="003E6436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DE9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DEA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714" w14:textId="77777777" w:rsid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23F6BB69" w14:textId="77777777" w:rsidR="008C3587" w:rsidRDefault="008C358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16DA6A04" w14:textId="77777777" w:rsidR="008C3587" w:rsidRDefault="008C358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2EEFBEF0" w14:textId="77777777" w:rsidR="008C3587" w:rsidRDefault="008C358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5427322C" w14:textId="77777777" w:rsidR="008C3587" w:rsidRDefault="008C358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  <w:p w14:paraId="1D21BDEB" w14:textId="3E7CC891" w:rsidR="008C3587" w:rsidRPr="003E6436" w:rsidRDefault="008C3587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bookmarkStart w:id="0" w:name="_GoBack"/>
            <w:bookmarkEnd w:id="0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DEC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DED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BDEE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BDEF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E53" w14:textId="77777777" w:rsidTr="004C38CE">
        <w:trPr>
          <w:trHeight w:val="1418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E52" w14:textId="77777777" w:rsidR="003E6436" w:rsidRPr="003E6436" w:rsidRDefault="003E6436" w:rsidP="003E6436">
            <w:pPr>
              <w:pStyle w:val="NormalWeb"/>
            </w:pPr>
          </w:p>
        </w:tc>
      </w:tr>
    </w:tbl>
    <w:tbl>
      <w:tblPr>
        <w:tblpPr w:leftFromText="180" w:rightFromText="180" w:vertAnchor="text" w:horzAnchor="page" w:tblpX="1" w:tblpY="-6523"/>
        <w:tblOverlap w:val="never"/>
        <w:tblW w:w="14321" w:type="dxa"/>
        <w:tblLook w:val="04A0" w:firstRow="1" w:lastRow="0" w:firstColumn="1" w:lastColumn="0" w:noHBand="0" w:noVBand="1"/>
      </w:tblPr>
      <w:tblGrid>
        <w:gridCol w:w="3886"/>
        <w:gridCol w:w="3883"/>
        <w:gridCol w:w="3881"/>
        <w:gridCol w:w="533"/>
        <w:gridCol w:w="533"/>
        <w:gridCol w:w="536"/>
        <w:gridCol w:w="533"/>
        <w:gridCol w:w="536"/>
      </w:tblGrid>
      <w:tr w:rsidR="004C38CE" w:rsidRPr="003E6436" w14:paraId="188DCC7E" w14:textId="77777777" w:rsidTr="004C38CE">
        <w:trPr>
          <w:trHeight w:val="300"/>
        </w:trPr>
        <w:tc>
          <w:tcPr>
            <w:tcW w:w="1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841" w14:textId="77777777" w:rsidR="004C38CE" w:rsidRPr="003E6436" w:rsidRDefault="004C38CE" w:rsidP="004C38CE">
            <w:pPr>
              <w:widowControl/>
              <w:autoSpaceDE/>
              <w:autoSpaceDN/>
            </w:pPr>
            <w:r>
              <w:t>(Vi)</w:t>
            </w:r>
            <w:r w:rsidRPr="003E6436">
              <w:t>Institutional set-up for liquidity risk management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CDF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6E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E1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36A8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94C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56ADAE59" w14:textId="77777777" w:rsidTr="004C38CE">
        <w:trPr>
          <w:trHeight w:val="16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479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05C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C16B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A9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0E3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A1B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0807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D38D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1E41472B" w14:textId="77777777" w:rsidTr="004C38CE">
        <w:trPr>
          <w:trHeight w:val="315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7C46" w14:textId="77777777" w:rsidR="004C38CE" w:rsidRPr="00113917" w:rsidRDefault="004C38CE" w:rsidP="004C38CE">
            <w:pPr>
              <w:widowControl/>
              <w:autoSpaceDE/>
              <w:autoSpaceDN/>
            </w:pPr>
            <w:r w:rsidRPr="003E6436">
              <w:t xml:space="preserve">The Board of Directors of the Company has constituted the Asset Liability Management Committee and </w:t>
            </w:r>
            <w:r w:rsidRPr="00113917">
              <w:t xml:space="preserve"> t</w:t>
            </w:r>
            <w:r w:rsidRPr="003E6436">
              <w:t xml:space="preserve">he </w:t>
            </w:r>
          </w:p>
          <w:p w14:paraId="73DA7181" w14:textId="77777777" w:rsidR="004C38CE" w:rsidRPr="003E6436" w:rsidRDefault="004C38CE" w:rsidP="004C38CE">
            <w:pPr>
              <w:widowControl/>
              <w:autoSpaceDE/>
              <w:autoSpaceDN/>
            </w:pPr>
            <w:r w:rsidRPr="003E6436">
              <w:t xml:space="preserve">Risk Management Committee. </w:t>
            </w:r>
          </w:p>
        </w:tc>
      </w:tr>
      <w:tr w:rsidR="004C38CE" w:rsidRPr="003E6436" w14:paraId="7E08BE8D" w14:textId="77777777" w:rsidTr="004C38CE">
        <w:trPr>
          <w:trHeight w:val="15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646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A79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525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01C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755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B76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70B5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8421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4CBF5365" w14:textId="77777777" w:rsidTr="004C38CE">
        <w:trPr>
          <w:trHeight w:val="300"/>
        </w:trPr>
        <w:tc>
          <w:tcPr>
            <w:tcW w:w="13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1BE3" w14:textId="77777777" w:rsidR="004C38CE" w:rsidRPr="003E6436" w:rsidRDefault="004C38CE" w:rsidP="004C38CE">
            <w:pPr>
              <w:widowControl/>
              <w:autoSpaceDE/>
              <w:autoSpaceDN/>
              <w:jc w:val="both"/>
            </w:pPr>
            <w:r w:rsidRPr="003E6436">
              <w:t>The Asset Liability Management Committee, inter alia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1A643" w14:textId="77777777" w:rsidR="004C38CE" w:rsidRPr="003E6436" w:rsidRDefault="004C38CE" w:rsidP="004C38C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2729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160E539A" w14:textId="77777777" w:rsidTr="004C38CE">
        <w:trPr>
          <w:trHeight w:val="15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B23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891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6E6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168C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F67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464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EF3B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682C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19BEE4CE" w14:textId="77777777" w:rsidTr="004C38CE">
        <w:trPr>
          <w:trHeight w:val="315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F8E9" w14:textId="77777777" w:rsidR="004C38CE" w:rsidRPr="00113917" w:rsidRDefault="004C38CE" w:rsidP="004C38C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</w:pPr>
            <w:r w:rsidRPr="00113917">
              <w:t>Implement and administer guidelines on Asset-Liability Management approved by the Board and its revision, if any</w:t>
            </w:r>
          </w:p>
        </w:tc>
      </w:tr>
      <w:tr w:rsidR="004C38CE" w:rsidRPr="003E6436" w14:paraId="1F1FD49B" w14:textId="77777777" w:rsidTr="004C38CE">
        <w:trPr>
          <w:trHeight w:val="15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45D" w14:textId="77777777" w:rsidR="004C38CE" w:rsidRPr="003E6436" w:rsidRDefault="004C38CE" w:rsidP="004C38CE">
            <w:pPr>
              <w:widowControl/>
              <w:autoSpaceDE/>
              <w:autoSpaceDN/>
              <w:ind w:firstLineChars="100" w:firstLine="220"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019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087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5E4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69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13D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55D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5272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6865F800" w14:textId="77777777" w:rsidTr="004C38CE">
        <w:trPr>
          <w:trHeight w:val="600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F515" w14:textId="6648607E" w:rsidR="004C38CE" w:rsidRPr="00113917" w:rsidRDefault="008142C4" w:rsidP="004C38C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</w:pPr>
            <w:r w:rsidRPr="008142C4">
              <w:t>Monitor the asset liability gap and overcome the asset-liability mismatches, interest risk exposure, etc.; Strategize action to mitigate risk associated with the asset liability gap;</w:t>
            </w:r>
          </w:p>
        </w:tc>
      </w:tr>
      <w:tr w:rsidR="004C38CE" w:rsidRPr="003E6436" w14:paraId="7B568D8B" w14:textId="77777777" w:rsidTr="004C38CE">
        <w:trPr>
          <w:trHeight w:val="15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BE2" w14:textId="77777777" w:rsidR="004C38CE" w:rsidRPr="003E6436" w:rsidRDefault="004C38CE" w:rsidP="004C38CE">
            <w:pPr>
              <w:widowControl/>
              <w:autoSpaceDE/>
              <w:autoSpaceDN/>
              <w:ind w:firstLineChars="100" w:firstLine="220"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C573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709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7F9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BAC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283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EAF1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E0BE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584E5CF0" w14:textId="77777777" w:rsidTr="004C38CE">
        <w:trPr>
          <w:trHeight w:val="600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1A5D" w14:textId="77777777" w:rsidR="004C38CE" w:rsidRPr="00113917" w:rsidRDefault="004C38CE" w:rsidP="004C38CE">
            <w:pPr>
              <w:widowControl/>
              <w:autoSpaceDE/>
              <w:autoSpaceDN/>
              <w:ind w:firstLineChars="100" w:firstLine="220"/>
            </w:pPr>
            <w:r w:rsidRPr="003E6436">
              <w:t xml:space="preserve">(c) Develop risk policies and procedures and verify adherence to various risk parameters and prudential limits; </w:t>
            </w:r>
          </w:p>
          <w:p w14:paraId="6DDD27D7" w14:textId="77777777" w:rsidR="004C38CE" w:rsidRPr="003E6436" w:rsidRDefault="004C38CE" w:rsidP="004C38CE">
            <w:pPr>
              <w:widowControl/>
              <w:autoSpaceDE/>
              <w:autoSpaceDN/>
              <w:ind w:firstLineChars="100" w:firstLine="220"/>
            </w:pPr>
            <w:r w:rsidRPr="003E6436">
              <w:t>review the risk monitoring system and ensure effective risk management; and</w:t>
            </w:r>
          </w:p>
        </w:tc>
      </w:tr>
      <w:tr w:rsidR="004C38CE" w:rsidRPr="003E6436" w14:paraId="76BFA16F" w14:textId="77777777" w:rsidTr="004C38CE">
        <w:trPr>
          <w:trHeight w:val="15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4A83" w14:textId="77777777" w:rsidR="004C38CE" w:rsidRPr="003E6436" w:rsidRDefault="004C38CE" w:rsidP="004C38CE">
            <w:pPr>
              <w:widowControl/>
              <w:autoSpaceDE/>
              <w:autoSpaceDN/>
              <w:ind w:firstLineChars="100" w:firstLine="220"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FF0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6B1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93D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0D5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3A5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C9BC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EE24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70B3A765" w14:textId="77777777" w:rsidTr="004C38CE">
        <w:trPr>
          <w:trHeight w:val="600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A737" w14:textId="1C05D79F" w:rsidR="004C38CE" w:rsidRPr="00113917" w:rsidRDefault="00DC1741" w:rsidP="00DC1741">
            <w:pPr>
              <w:widowControl/>
              <w:autoSpaceDE/>
              <w:autoSpaceDN/>
            </w:pPr>
            <w:r w:rsidRPr="00DC1741">
              <w:t>(d) Ensure that the credit and investment exposure to any party / Company / group of parties or companies does not exceed the internally set limits as well as statutory limits as prescribed by Reserve Bank of India from time to time.</w:t>
            </w:r>
          </w:p>
        </w:tc>
      </w:tr>
      <w:tr w:rsidR="004C38CE" w:rsidRPr="003E6436" w14:paraId="5A1F391B" w14:textId="77777777" w:rsidTr="004C38CE">
        <w:trPr>
          <w:trHeight w:val="15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34C" w14:textId="77777777" w:rsidR="004C38CE" w:rsidRPr="003E6436" w:rsidRDefault="004C38CE" w:rsidP="004C38CE">
            <w:pPr>
              <w:widowControl/>
              <w:autoSpaceDE/>
              <w:autoSpaceDN/>
              <w:ind w:firstLineChars="100" w:firstLine="220"/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9C6" w14:textId="77777777" w:rsidR="004C38CE" w:rsidRPr="003E6436" w:rsidRDefault="004C38CE" w:rsidP="004C38CE">
            <w:pPr>
              <w:widowControl/>
              <w:autoSpaceDE/>
              <w:autoSpaceDN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F7E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117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1A9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639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BCDA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D05C" w14:textId="77777777" w:rsidR="004C38CE" w:rsidRPr="003E6436" w:rsidRDefault="004C38CE" w:rsidP="004C38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4C38CE" w:rsidRPr="003E6436" w14:paraId="21389646" w14:textId="77777777" w:rsidTr="00DC1741">
        <w:trPr>
          <w:trHeight w:val="212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98EC" w14:textId="77777777" w:rsidR="004C38CE" w:rsidRPr="00113917" w:rsidRDefault="004C38CE" w:rsidP="004C38CE">
            <w:pPr>
              <w:widowControl/>
              <w:autoSpaceDE/>
              <w:autoSpaceDN/>
              <w:ind w:firstLineChars="100" w:firstLine="220"/>
            </w:pPr>
          </w:p>
          <w:p w14:paraId="489D86F3" w14:textId="77777777" w:rsidR="004C38CE" w:rsidRPr="00113917" w:rsidRDefault="004C38CE" w:rsidP="004C38CE">
            <w:pPr>
              <w:widowControl/>
              <w:autoSpaceDE/>
              <w:autoSpaceDN/>
              <w:jc w:val="both"/>
            </w:pPr>
            <w:r w:rsidRPr="003E6436">
              <w:t xml:space="preserve">The Company ensures sufficient Liquidity Cushion is maintained in the form of Cash and cash equivalents and </w:t>
            </w:r>
          </w:p>
          <w:p w14:paraId="5E4F03CC" w14:textId="77777777" w:rsidR="004C38CE" w:rsidRPr="00113917" w:rsidRDefault="004C38CE" w:rsidP="004C38CE">
            <w:pPr>
              <w:widowControl/>
              <w:autoSpaceDE/>
              <w:autoSpaceDN/>
              <w:jc w:val="both"/>
            </w:pPr>
            <w:r w:rsidRPr="003E6436">
              <w:t xml:space="preserve">Investments in liquid securities. These assets carry minimal credit risk and can be liquidated in a very short </w:t>
            </w:r>
          </w:p>
          <w:p w14:paraId="18519C0D" w14:textId="77777777" w:rsidR="004C38CE" w:rsidRPr="00113917" w:rsidRDefault="004C38CE" w:rsidP="004C38CE">
            <w:pPr>
              <w:widowControl/>
              <w:autoSpaceDE/>
              <w:autoSpaceDN/>
              <w:jc w:val="both"/>
            </w:pPr>
            <w:r w:rsidRPr="003E6436">
              <w:t xml:space="preserve">period of time. This takes care of immediate obligations while continuing to honour our commitments as a </w:t>
            </w:r>
          </w:p>
          <w:p w14:paraId="0DDC6AA1" w14:textId="77777777" w:rsidR="004C38CE" w:rsidRPr="00113917" w:rsidRDefault="004C38CE" w:rsidP="004C38CE">
            <w:pPr>
              <w:widowControl/>
              <w:autoSpaceDE/>
              <w:autoSpaceDN/>
              <w:jc w:val="both"/>
            </w:pPr>
            <w:r w:rsidRPr="003E6436">
              <w:t xml:space="preserve">going concern.  The Company continues to focus on developing a diversified funding model to achieve an </w:t>
            </w:r>
          </w:p>
          <w:p w14:paraId="5BF3560A" w14:textId="77777777" w:rsidR="004C38CE" w:rsidRPr="003E6436" w:rsidRDefault="004C38CE" w:rsidP="004C38CE">
            <w:pPr>
              <w:widowControl/>
              <w:autoSpaceDE/>
              <w:autoSpaceDN/>
              <w:jc w:val="both"/>
            </w:pPr>
            <w:r w:rsidRPr="003E6436">
              <w:t>optimum cost of funds while balancing liquidity.</w:t>
            </w:r>
          </w:p>
        </w:tc>
      </w:tr>
      <w:tr w:rsidR="00DC1741" w:rsidRPr="003E6436" w14:paraId="5E7936E0" w14:textId="77777777" w:rsidTr="004C38CE">
        <w:trPr>
          <w:trHeight w:val="1200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9191" w14:textId="77777777" w:rsidR="00DC1741" w:rsidRPr="00113917" w:rsidRDefault="00DC1741" w:rsidP="004C38CE">
            <w:pPr>
              <w:widowControl/>
              <w:autoSpaceDE/>
              <w:autoSpaceDN/>
              <w:ind w:firstLineChars="100" w:firstLine="220"/>
            </w:pPr>
          </w:p>
        </w:tc>
      </w:tr>
    </w:tbl>
    <w:p w14:paraId="1D21BE54" w14:textId="77777777" w:rsidR="00113917" w:rsidRDefault="00113917">
      <w:r>
        <w:br w:type="page"/>
      </w:r>
    </w:p>
    <w:tbl>
      <w:tblPr>
        <w:tblW w:w="14537" w:type="dxa"/>
        <w:tblInd w:w="108" w:type="dxa"/>
        <w:tblLook w:val="04A0" w:firstRow="1" w:lastRow="0" w:firstColumn="1" w:lastColumn="0" w:noHBand="0" w:noVBand="1"/>
      </w:tblPr>
      <w:tblGrid>
        <w:gridCol w:w="2038"/>
        <w:gridCol w:w="2037"/>
        <w:gridCol w:w="2037"/>
        <w:gridCol w:w="1685"/>
        <w:gridCol w:w="1685"/>
        <w:gridCol w:w="1685"/>
        <w:gridCol w:w="1685"/>
        <w:gridCol w:w="1685"/>
      </w:tblGrid>
      <w:tr w:rsidR="003E6436" w:rsidRPr="003E6436" w14:paraId="1D21BE5D" w14:textId="77777777" w:rsidTr="00113917">
        <w:trPr>
          <w:trHeight w:val="15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BE55" w14:textId="77777777" w:rsidR="00113917" w:rsidRPr="003E6436" w:rsidRDefault="00113917" w:rsidP="001139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E56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E57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E58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E59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E5A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BE5B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BE5C" w14:textId="77777777" w:rsidR="003E6436" w:rsidRPr="003E6436" w:rsidRDefault="003E6436" w:rsidP="003E64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E6436" w:rsidRPr="003E6436" w14:paraId="1D21BE5F" w14:textId="77777777" w:rsidTr="00113917">
        <w:trPr>
          <w:trHeight w:val="1200"/>
        </w:trPr>
        <w:tc>
          <w:tcPr>
            <w:tcW w:w="1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E5E" w14:textId="77777777" w:rsidR="00113917" w:rsidRPr="003E6436" w:rsidRDefault="00113917" w:rsidP="003E6436">
            <w:pPr>
              <w:widowControl/>
              <w:autoSpaceDE/>
              <w:autoSpaceDN/>
              <w:ind w:firstLineChars="100" w:firstLine="220"/>
            </w:pPr>
          </w:p>
        </w:tc>
      </w:tr>
    </w:tbl>
    <w:p w14:paraId="1D21BE65" w14:textId="77777777" w:rsidR="00886754" w:rsidRDefault="00886754">
      <w:pPr>
        <w:pStyle w:val="BodyText"/>
        <w:ind w:left="0"/>
      </w:pPr>
    </w:p>
    <w:sectPr w:rsidR="00886754" w:rsidSect="004A5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80" w:right="1560" w:bottom="1280" w:left="1480" w:header="715" w:footer="12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57B2" w14:textId="77777777" w:rsidR="00B1700E" w:rsidRDefault="00B1700E">
      <w:r>
        <w:separator/>
      </w:r>
    </w:p>
  </w:endnote>
  <w:endnote w:type="continuationSeparator" w:id="0">
    <w:p w14:paraId="78DC9276" w14:textId="77777777" w:rsidR="00B1700E" w:rsidRDefault="00B1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996A" w14:textId="77777777" w:rsidR="008C3587" w:rsidRDefault="008C3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9A7F" w14:textId="77777777" w:rsidR="008C3587" w:rsidRDefault="008C3587" w:rsidP="008C3587">
    <w:pPr>
      <w:pStyle w:val="Footer"/>
      <w:tabs>
        <w:tab w:val="left" w:pos="1260"/>
        <w:tab w:val="right" w:pos="9180"/>
      </w:tabs>
      <w:ind w:left="-567" w:right="-871"/>
      <w:rPr>
        <w:rFonts w:ascii="Helvetica" w:hAnsi="Helvetica" w:cs="Helvetica"/>
        <w:b/>
        <w:color w:val="183884"/>
        <w:sz w:val="16"/>
        <w:szCs w:val="16"/>
      </w:rPr>
    </w:pPr>
    <w:r>
      <w:rPr>
        <w:rFonts w:ascii="Helvetica" w:hAnsi="Helvetica" w:cs="Helvetica"/>
        <w:b/>
        <w:color w:val="183884"/>
        <w:sz w:val="16"/>
        <w:szCs w:val="16"/>
      </w:rPr>
      <w:t>Edelweiss Finvest</w:t>
    </w:r>
    <w:r w:rsidRPr="00226895">
      <w:rPr>
        <w:rFonts w:ascii="Helvetica" w:hAnsi="Helvetica" w:cs="Helvetica"/>
        <w:b/>
        <w:color w:val="183884"/>
        <w:sz w:val="16"/>
        <w:szCs w:val="16"/>
      </w:rPr>
      <w:t xml:space="preserve"> Private Limited</w:t>
    </w:r>
  </w:p>
  <w:p w14:paraId="207ECDFC" w14:textId="77777777" w:rsidR="008C3587" w:rsidRPr="00226895" w:rsidRDefault="008C3587" w:rsidP="008C3587">
    <w:pPr>
      <w:pStyle w:val="Footer"/>
      <w:tabs>
        <w:tab w:val="left" w:pos="1260"/>
        <w:tab w:val="right" w:pos="9180"/>
      </w:tabs>
      <w:ind w:left="-567" w:right="-871"/>
      <w:rPr>
        <w:rFonts w:ascii="Helvetica" w:hAnsi="Helvetica" w:cs="Helvetica"/>
        <w:b/>
        <w:color w:val="183884"/>
        <w:sz w:val="16"/>
        <w:szCs w:val="16"/>
      </w:rPr>
    </w:pPr>
    <w:r w:rsidRPr="00226895">
      <w:rPr>
        <w:rFonts w:ascii="Helvetica" w:hAnsi="Helvetica" w:cs="Helvetica"/>
        <w:b/>
        <w:color w:val="183884"/>
        <w:sz w:val="16"/>
        <w:szCs w:val="16"/>
      </w:rPr>
      <w:t xml:space="preserve">Corporate Identity Number: U65993MH2006PTC164007 </w:t>
    </w:r>
  </w:p>
  <w:p w14:paraId="3BB0F9D7" w14:textId="77777777" w:rsidR="008C3587" w:rsidRDefault="008C3587" w:rsidP="008C3587">
    <w:pPr>
      <w:pStyle w:val="Footer"/>
      <w:tabs>
        <w:tab w:val="left" w:pos="1260"/>
        <w:tab w:val="right" w:pos="9180"/>
      </w:tabs>
      <w:ind w:left="-567" w:right="-871"/>
      <w:rPr>
        <w:rFonts w:ascii="Helvetica" w:hAnsi="Helvetica" w:cs="Helvetica"/>
        <w:color w:val="72706F"/>
        <w:sz w:val="16"/>
        <w:szCs w:val="16"/>
      </w:rPr>
    </w:pPr>
    <w:r w:rsidRPr="001B5B52">
      <w:rPr>
        <w:rFonts w:ascii="Helvetica" w:hAnsi="Helvetica" w:cs="Helvetica"/>
        <w:color w:val="72706F"/>
        <w:sz w:val="16"/>
        <w:szCs w:val="16"/>
      </w:rPr>
      <w:t xml:space="preserve">Registered Office: </w:t>
    </w:r>
    <w:r w:rsidRPr="004C4545">
      <w:rPr>
        <w:rFonts w:ascii="Helvetica" w:hAnsi="Helvetica" w:cs="Helvetica"/>
        <w:color w:val="72706F"/>
        <w:sz w:val="16"/>
        <w:szCs w:val="16"/>
      </w:rPr>
      <w:t xml:space="preserve">Tower 3, Wing </w:t>
    </w:r>
    <w:r>
      <w:rPr>
        <w:rFonts w:ascii="Helvetica" w:hAnsi="Helvetica" w:cs="Helvetica"/>
        <w:color w:val="72706F"/>
        <w:sz w:val="16"/>
        <w:szCs w:val="16"/>
      </w:rPr>
      <w:t>‘</w:t>
    </w:r>
    <w:r w:rsidRPr="004C4545">
      <w:rPr>
        <w:rFonts w:ascii="Helvetica" w:hAnsi="Helvetica" w:cs="Helvetica"/>
        <w:color w:val="72706F"/>
        <w:sz w:val="16"/>
        <w:szCs w:val="16"/>
      </w:rPr>
      <w:t>B</w:t>
    </w:r>
    <w:r>
      <w:rPr>
        <w:rFonts w:ascii="Helvetica" w:hAnsi="Helvetica" w:cs="Helvetica"/>
        <w:color w:val="72706F"/>
        <w:sz w:val="16"/>
        <w:szCs w:val="16"/>
      </w:rPr>
      <w:t>’</w:t>
    </w:r>
    <w:r w:rsidRPr="004C4545">
      <w:rPr>
        <w:rFonts w:ascii="Helvetica" w:hAnsi="Helvetica" w:cs="Helvetica"/>
        <w:color w:val="72706F"/>
        <w:sz w:val="16"/>
        <w:szCs w:val="16"/>
      </w:rPr>
      <w:t xml:space="preserve">, Kohinoor City Mall, Kohinoor City, Kirol Road, Kurla </w:t>
    </w:r>
    <w:r>
      <w:rPr>
        <w:rFonts w:ascii="Helvetica" w:hAnsi="Helvetica" w:cs="Helvetica"/>
        <w:color w:val="72706F"/>
        <w:sz w:val="16"/>
        <w:szCs w:val="16"/>
      </w:rPr>
      <w:t>(</w:t>
    </w:r>
    <w:r w:rsidRPr="004C4545">
      <w:rPr>
        <w:rFonts w:ascii="Helvetica" w:hAnsi="Helvetica" w:cs="Helvetica"/>
        <w:color w:val="72706F"/>
        <w:sz w:val="16"/>
        <w:szCs w:val="16"/>
      </w:rPr>
      <w:t>West</w:t>
    </w:r>
    <w:r>
      <w:rPr>
        <w:rFonts w:ascii="Helvetica" w:hAnsi="Helvetica" w:cs="Helvetica"/>
        <w:color w:val="72706F"/>
        <w:sz w:val="16"/>
        <w:szCs w:val="16"/>
      </w:rPr>
      <w:t>)</w:t>
    </w:r>
    <w:r w:rsidRPr="004C4545">
      <w:rPr>
        <w:rFonts w:ascii="Helvetica" w:hAnsi="Helvetica" w:cs="Helvetica"/>
        <w:color w:val="72706F"/>
        <w:sz w:val="16"/>
        <w:szCs w:val="16"/>
      </w:rPr>
      <w:t>, Mumbai 400070.</w:t>
    </w:r>
    <w:r>
      <w:rPr>
        <w:rFonts w:ascii="Helvetica" w:hAnsi="Helvetica" w:cs="Helvetica"/>
        <w:color w:val="72706F"/>
        <w:sz w:val="16"/>
        <w:szCs w:val="16"/>
      </w:rPr>
      <w:t xml:space="preserve"> Te. No.</w:t>
    </w:r>
    <w:r w:rsidRPr="004C4545">
      <w:rPr>
        <w:color w:val="1F497D"/>
      </w:rPr>
      <w:t xml:space="preserve"> </w:t>
    </w:r>
    <w:r w:rsidRPr="004C4545">
      <w:rPr>
        <w:rFonts w:ascii="Helvetica" w:hAnsi="Helvetica" w:cs="Helvetica"/>
        <w:color w:val="72706F"/>
        <w:sz w:val="16"/>
        <w:szCs w:val="16"/>
      </w:rPr>
      <w:t>+91 22 4272 2200</w:t>
    </w:r>
  </w:p>
  <w:p w14:paraId="1D21BE6B" w14:textId="7449C2EB" w:rsidR="00886754" w:rsidRPr="008C3587" w:rsidRDefault="00886754" w:rsidP="008C3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6A7" w14:textId="77777777" w:rsidR="008C3587" w:rsidRDefault="008C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F243" w14:textId="77777777" w:rsidR="00B1700E" w:rsidRDefault="00B1700E">
      <w:r>
        <w:separator/>
      </w:r>
    </w:p>
  </w:footnote>
  <w:footnote w:type="continuationSeparator" w:id="0">
    <w:p w14:paraId="4DB6F1E3" w14:textId="77777777" w:rsidR="00B1700E" w:rsidRDefault="00B1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F9B" w14:textId="77777777" w:rsidR="008C3587" w:rsidRDefault="008C3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E6A" w14:textId="4DE28A70" w:rsidR="00886754" w:rsidRDefault="008C358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6E5B745" wp14:editId="0CC676D5">
          <wp:simplePos x="0" y="0"/>
          <wp:positionH relativeFrom="column">
            <wp:posOffset>6629400</wp:posOffset>
          </wp:positionH>
          <wp:positionV relativeFrom="paragraph">
            <wp:posOffset>-314960</wp:posOffset>
          </wp:positionV>
          <wp:extent cx="2148840" cy="409575"/>
          <wp:effectExtent l="19050" t="0" r="3810" b="0"/>
          <wp:wrapNone/>
          <wp:docPr id="1" name="Picture 1" descr="Edelweiss thin Ci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elweiss thin Cil 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ABC5" w14:textId="77777777" w:rsidR="008C3587" w:rsidRDefault="008C3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06B"/>
    <w:multiLevelType w:val="hybridMultilevel"/>
    <w:tmpl w:val="F75898EC"/>
    <w:lvl w:ilvl="0" w:tplc="ADC036C2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4AD04035"/>
    <w:multiLevelType w:val="hybridMultilevel"/>
    <w:tmpl w:val="EECCD0E8"/>
    <w:lvl w:ilvl="0" w:tplc="D7AC5998">
      <w:start w:val="1"/>
      <w:numFmt w:val="lowerRoman"/>
      <w:lvlText w:val="(%1)"/>
      <w:lvlJc w:val="left"/>
      <w:pPr>
        <w:ind w:left="1193" w:hanging="720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6DA60AA2">
      <w:numFmt w:val="bullet"/>
      <w:lvlText w:val="•"/>
      <w:lvlJc w:val="left"/>
      <w:pPr>
        <w:ind w:left="2088" w:hanging="720"/>
      </w:pPr>
      <w:rPr>
        <w:rFonts w:hint="default"/>
      </w:rPr>
    </w:lvl>
    <w:lvl w:ilvl="2" w:tplc="6DE447C6">
      <w:numFmt w:val="bullet"/>
      <w:lvlText w:val="•"/>
      <w:lvlJc w:val="left"/>
      <w:pPr>
        <w:ind w:left="2976" w:hanging="720"/>
      </w:pPr>
      <w:rPr>
        <w:rFonts w:hint="default"/>
      </w:rPr>
    </w:lvl>
    <w:lvl w:ilvl="3" w:tplc="05A4A844">
      <w:numFmt w:val="bullet"/>
      <w:lvlText w:val="•"/>
      <w:lvlJc w:val="left"/>
      <w:pPr>
        <w:ind w:left="3864" w:hanging="720"/>
      </w:pPr>
      <w:rPr>
        <w:rFonts w:hint="default"/>
      </w:rPr>
    </w:lvl>
    <w:lvl w:ilvl="4" w:tplc="E71CC84E"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123E4342">
      <w:numFmt w:val="bullet"/>
      <w:lvlText w:val="•"/>
      <w:lvlJc w:val="left"/>
      <w:pPr>
        <w:ind w:left="5640" w:hanging="720"/>
      </w:pPr>
      <w:rPr>
        <w:rFonts w:hint="default"/>
      </w:rPr>
    </w:lvl>
    <w:lvl w:ilvl="6" w:tplc="C34CEF26"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12A813EC">
      <w:numFmt w:val="bullet"/>
      <w:lvlText w:val="•"/>
      <w:lvlJc w:val="left"/>
      <w:pPr>
        <w:ind w:left="7416" w:hanging="720"/>
      </w:pPr>
      <w:rPr>
        <w:rFonts w:hint="default"/>
      </w:rPr>
    </w:lvl>
    <w:lvl w:ilvl="8" w:tplc="BCE4249E">
      <w:numFmt w:val="bullet"/>
      <w:lvlText w:val="•"/>
      <w:lvlJc w:val="left"/>
      <w:pPr>
        <w:ind w:left="8304" w:hanging="720"/>
      </w:pPr>
      <w:rPr>
        <w:rFonts w:hint="default"/>
      </w:rPr>
    </w:lvl>
  </w:abstractNum>
  <w:abstractNum w:abstractNumId="2" w15:restartNumberingAfterBreak="0">
    <w:nsid w:val="741A673F"/>
    <w:multiLevelType w:val="hybridMultilevel"/>
    <w:tmpl w:val="1D78EF84"/>
    <w:lvl w:ilvl="0" w:tplc="4CC0C53C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4"/>
    <w:rsid w:val="00113917"/>
    <w:rsid w:val="00184861"/>
    <w:rsid w:val="002224D8"/>
    <w:rsid w:val="00363BD5"/>
    <w:rsid w:val="003E6436"/>
    <w:rsid w:val="00451BFA"/>
    <w:rsid w:val="004A51DD"/>
    <w:rsid w:val="004C38CE"/>
    <w:rsid w:val="0055050D"/>
    <w:rsid w:val="005959F3"/>
    <w:rsid w:val="005F419F"/>
    <w:rsid w:val="007949CB"/>
    <w:rsid w:val="00794B99"/>
    <w:rsid w:val="007A5199"/>
    <w:rsid w:val="008142C4"/>
    <w:rsid w:val="00871CAF"/>
    <w:rsid w:val="00886754"/>
    <w:rsid w:val="008C3587"/>
    <w:rsid w:val="00974109"/>
    <w:rsid w:val="00A91AAF"/>
    <w:rsid w:val="00B1700E"/>
    <w:rsid w:val="00C037D9"/>
    <w:rsid w:val="00C46EA2"/>
    <w:rsid w:val="00D8762B"/>
    <w:rsid w:val="00DC1741"/>
    <w:rsid w:val="00E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1BD20"/>
  <w15:docId w15:val="{F2C59A21-65F8-4623-B475-A7CA1CB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3"/>
    </w:pPr>
  </w:style>
  <w:style w:type="paragraph" w:styleId="ListParagraph">
    <w:name w:val="List Paragraph"/>
    <w:basedOn w:val="Normal"/>
    <w:uiPriority w:val="1"/>
    <w:qFormat/>
    <w:pPr>
      <w:ind w:left="1193" w:hanging="72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91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AF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nhideWhenUsed/>
    <w:rsid w:val="00A91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1AAF"/>
    <w:rPr>
      <w:rFonts w:ascii="Calibri Light" w:eastAsia="Calibri Light" w:hAnsi="Calibri Light" w:cs="Calibri Light"/>
    </w:rPr>
  </w:style>
  <w:style w:type="table" w:styleId="TableGrid">
    <w:name w:val="Table Grid"/>
    <w:basedOn w:val="TableNormal"/>
    <w:uiPriority w:val="39"/>
    <w:rsid w:val="0022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64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Public Disclosure on Liquidity Risk 31.03.2020.docx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Public Disclosure on Liquidity Risk 31.03.2020.docx</dc:title>
  <dc:creator>SwetaL</dc:creator>
  <cp:lastModifiedBy>Aditi Desai - GWAM Corp</cp:lastModifiedBy>
  <cp:revision>2</cp:revision>
  <dcterms:created xsi:type="dcterms:W3CDTF">2020-08-20T09:49:00Z</dcterms:created>
  <dcterms:modified xsi:type="dcterms:W3CDTF">2020-08-20T09:49:00Z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2020-08-17T00:00:00Z</vt:filetime>
  </property>
  <property fmtid="{D5CDD505-2E9C-101B-9397-08002B2CF9AE}" pid="4" name="MSIP_Label_30e1e75b-30e8-4eb6-924b-9228391a679f_Enabled">
    <vt:lpwstr>True</vt:lpwstr>
  </property>
  <property fmtid="{D5CDD505-2E9C-101B-9397-08002B2CF9AE}" pid="5" name="MSIP_Label_30e1e75b-30e8-4eb6-924b-9228391a679f_SiteId">
    <vt:lpwstr>02dbf22a-371e-4cac-bdbc-60197ffafbe8</vt:lpwstr>
  </property>
  <property fmtid="{D5CDD505-2E9C-101B-9397-08002B2CF9AE}" pid="6" name="MSIP_Label_30e1e75b-30e8-4eb6-924b-9228391a679f_Owner">
    <vt:lpwstr>Aditi.Gotecha@edelweissfin.com</vt:lpwstr>
  </property>
  <property fmtid="{D5CDD505-2E9C-101B-9397-08002B2CF9AE}" pid="7" name="MSIP_Label_30e1e75b-30e8-4eb6-924b-9228391a679f_SetDate">
    <vt:lpwstr>2020-08-17T07:35:20.5910504Z</vt:lpwstr>
  </property>
  <property fmtid="{D5CDD505-2E9C-101B-9397-08002B2CF9AE}" pid="8" name="MSIP_Label_30e1e75b-30e8-4eb6-924b-9228391a679f_Name">
    <vt:lpwstr>Internal</vt:lpwstr>
  </property>
  <property fmtid="{D5CDD505-2E9C-101B-9397-08002B2CF9AE}" pid="9" name="MSIP_Label_30e1e75b-30e8-4eb6-924b-9228391a679f_Application">
    <vt:lpwstr>Microsoft Azure Information Protection</vt:lpwstr>
  </property>
  <property fmtid="{D5CDD505-2E9C-101B-9397-08002B2CF9AE}" pid="10" name="MSIP_Label_30e1e75b-30e8-4eb6-924b-9228391a679f_ActionId">
    <vt:lpwstr>c8e897e9-0a90-445e-a869-a5945252f285</vt:lpwstr>
  </property>
  <property fmtid="{D5CDD505-2E9C-101B-9397-08002B2CF9AE}" pid="11" name="MSIP_Label_30e1e75b-30e8-4eb6-924b-9228391a679f_Extended_MSFT_Method">
    <vt:lpwstr>Automatic</vt:lpwstr>
  </property>
  <property fmtid="{D5CDD505-2E9C-101B-9397-08002B2CF9AE}" pid="12" name="Sensitivity">
    <vt:lpwstr>Internal</vt:lpwstr>
  </property>
</Properties>
</file>